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fr-FR"/>
        </w:rPr>
        <w:id w:val="-54548656"/>
        <w:docPartObj>
          <w:docPartGallery w:val="Cover Pages"/>
          <w:docPartUnique/>
        </w:docPartObj>
      </w:sdtPr>
      <w:sdtEndPr/>
      <w:sdtContent>
        <w:p w14:paraId="05412E03" w14:textId="0CAEAACC" w:rsidR="0041703E" w:rsidRPr="00663B42" w:rsidRDefault="009C20D9">
          <w:pPr>
            <w:rPr>
              <w:lang w:val="fr-FR"/>
            </w:rPr>
          </w:pPr>
          <w:r w:rsidRPr="00663B42">
            <w:rPr>
              <w:noProof/>
              <w:lang w:val="en-GB" w:eastAsia="en-GB"/>
            </w:rPr>
            <mc:AlternateContent>
              <mc:Choice Requires="wps">
                <w:drawing>
                  <wp:anchor distT="0" distB="0" distL="114300" distR="114300" simplePos="0" relativeHeight="251654656" behindDoc="1" locked="0" layoutInCell="1" allowOverlap="1" wp14:anchorId="05412E15" wp14:editId="19C5166A">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39F04822" w:rsidR="0041703E" w:rsidRPr="00775AD1" w:rsidRDefault="00060D02">
                                    <w:pPr>
                                      <w:pStyle w:val="NoSpacing"/>
                                      <w:pBdr>
                                        <w:bottom w:val="single" w:sz="6" w:space="4" w:color="9D9D9D" w:themeColor="text1" w:themeTint="80"/>
                                      </w:pBdr>
                                      <w:rPr>
                                        <w:rFonts w:eastAsiaTheme="majorEastAsia" w:cstheme="majorBidi"/>
                                        <w:color w:val="808080" w:themeColor="text1" w:themeTint="A6"/>
                                        <w:sz w:val="72"/>
                                        <w:szCs w:val="72"/>
                                        <w:lang w:val="fr-FR"/>
                                      </w:rPr>
                                    </w:pPr>
                                    <w:r w:rsidRPr="00775AD1">
                                      <w:rPr>
                                        <w:rFonts w:eastAsiaTheme="majorEastAsia" w:cstheme="majorBidi"/>
                                        <w:color w:val="808080" w:themeColor="text1" w:themeTint="A6"/>
                                        <w:sz w:val="72"/>
                                        <w:szCs w:val="72"/>
                                        <w:lang w:val="fr-FR"/>
                                      </w:rPr>
                                      <w:t>Modèle</w:t>
                                    </w:r>
                                    <w:r w:rsidR="008C5E85" w:rsidRPr="00775AD1">
                                      <w:rPr>
                                        <w:rFonts w:eastAsiaTheme="majorEastAsia" w:cstheme="majorBidi"/>
                                        <w:color w:val="808080" w:themeColor="text1" w:themeTint="A6"/>
                                        <w:sz w:val="72"/>
                                        <w:szCs w:val="72"/>
                                        <w:lang w:val="fr-FR"/>
                                      </w:rPr>
                                      <w:t>:</w:t>
                                    </w:r>
                                    <w:r w:rsidR="00632F23" w:rsidRPr="00775AD1">
                                      <w:rPr>
                                        <w:rFonts w:eastAsiaTheme="majorEastAsia" w:cstheme="majorBidi"/>
                                        <w:color w:val="808080" w:themeColor="text1" w:themeTint="A6"/>
                                        <w:sz w:val="72"/>
                                        <w:szCs w:val="72"/>
                                        <w:lang w:val="fr-FR"/>
                                      </w:rPr>
                                      <w:t xml:space="preserve">                       </w:t>
                                    </w:r>
                                    <w:r w:rsidR="00281839" w:rsidRPr="00775AD1">
                                      <w:rPr>
                                        <w:rFonts w:eastAsiaTheme="majorEastAsia" w:cstheme="majorBidi"/>
                                        <w:color w:val="808080" w:themeColor="text1" w:themeTint="A6"/>
                                        <w:sz w:val="72"/>
                                        <w:szCs w:val="72"/>
                                        <w:lang w:val="fr-FR"/>
                                      </w:rPr>
                                      <w:t xml:space="preserve">      </w:t>
                                    </w:r>
                                    <w:r w:rsidR="00775AD1" w:rsidRPr="00775AD1">
                                      <w:rPr>
                                        <w:rFonts w:eastAsiaTheme="majorEastAsia" w:cstheme="majorBidi"/>
                                        <w:color w:val="808080" w:themeColor="text1" w:themeTint="A6"/>
                                        <w:sz w:val="72"/>
                                        <w:szCs w:val="72"/>
                                        <w:lang w:val="fr-FR"/>
                                      </w:rPr>
                                      <w:t xml:space="preserve">     </w:t>
                                    </w:r>
                                    <w:r w:rsidR="00632F23" w:rsidRPr="00775AD1">
                                      <w:rPr>
                                        <w:rFonts w:eastAsiaTheme="majorEastAsia" w:cstheme="majorBidi"/>
                                        <w:color w:val="808080" w:themeColor="text1" w:themeTint="A6"/>
                                        <w:sz w:val="72"/>
                                        <w:szCs w:val="72"/>
                                        <w:lang w:val="fr-FR"/>
                                      </w:rPr>
                                      <w:t>Term</w:t>
                                    </w:r>
                                    <w:r w:rsidR="00775AD1" w:rsidRPr="00775AD1">
                                      <w:rPr>
                                        <w:rFonts w:eastAsiaTheme="majorEastAsia" w:cstheme="majorBidi"/>
                                        <w:color w:val="808080" w:themeColor="text1" w:themeTint="A6"/>
                                        <w:sz w:val="72"/>
                                        <w:szCs w:val="72"/>
                                        <w:lang w:val="fr-FR"/>
                                      </w:rPr>
                                      <w:t>e</w:t>
                                    </w:r>
                                    <w:r w:rsidR="008C5E85" w:rsidRPr="00775AD1">
                                      <w:rPr>
                                        <w:rFonts w:eastAsiaTheme="majorEastAsia" w:cstheme="majorBidi"/>
                                        <w:color w:val="808080" w:themeColor="text1" w:themeTint="A6"/>
                                        <w:sz w:val="72"/>
                                        <w:szCs w:val="72"/>
                                        <w:lang w:val="fr-FR"/>
                                      </w:rPr>
                                      <w:t>s</w:t>
                                    </w:r>
                                    <w:r w:rsidR="00775AD1" w:rsidRPr="00775AD1">
                                      <w:rPr>
                                        <w:rFonts w:eastAsiaTheme="majorEastAsia" w:cstheme="majorBidi"/>
                                        <w:color w:val="808080" w:themeColor="text1" w:themeTint="A6"/>
                                        <w:sz w:val="72"/>
                                        <w:szCs w:val="72"/>
                                        <w:lang w:val="fr-FR"/>
                                      </w:rPr>
                                      <w:t xml:space="preserve"> de réfé</w:t>
                                    </w:r>
                                    <w:r w:rsidR="00632F23" w:rsidRPr="00775AD1">
                                      <w:rPr>
                                        <w:rFonts w:eastAsiaTheme="majorEastAsia" w:cstheme="majorBidi"/>
                                        <w:color w:val="808080" w:themeColor="text1" w:themeTint="A6"/>
                                        <w:sz w:val="72"/>
                                        <w:szCs w:val="72"/>
                                        <w:lang w:val="fr-FR"/>
                                      </w:rPr>
                                      <w:t>rence</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40CCC85E" w:rsidR="0041703E" w:rsidRPr="00BA6AE6" w:rsidRDefault="00BA6AE6">
                                    <w:pPr>
                                      <w:pStyle w:val="NoSpacing"/>
                                      <w:spacing w:before="240"/>
                                      <w:rPr>
                                        <w:caps/>
                                        <w:color w:val="3C3C3C" w:themeColor="text2"/>
                                        <w:sz w:val="36"/>
                                        <w:szCs w:val="36"/>
                                        <w:lang w:val="fr-FR"/>
                                      </w:rPr>
                                    </w:pPr>
                                    <w:r>
                                      <w:rPr>
                                        <w:caps/>
                                        <w:color w:val="3C3C3C" w:themeColor="text2"/>
                                        <w:sz w:val="36"/>
                                        <w:szCs w:val="36"/>
                                        <w:lang w:val="fr-FR"/>
                                      </w:rPr>
                                      <w:t>2022</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12E15"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" filled="f" stroked="f" strokeweight=".5pt">
                    <v:textbox inset="36pt,36pt,36pt,36pt">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39F04822" w:rsidR="0041703E" w:rsidRPr="00775AD1" w:rsidRDefault="00060D02">
                              <w:pPr>
                                <w:pStyle w:val="NoSpacing"/>
                                <w:pBdr>
                                  <w:bottom w:val="single" w:sz="6" w:space="4" w:color="9D9D9D" w:themeColor="text1" w:themeTint="80"/>
                                </w:pBdr>
                                <w:rPr>
                                  <w:rFonts w:eastAsiaTheme="majorEastAsia" w:cstheme="majorBidi"/>
                                  <w:color w:val="808080" w:themeColor="text1" w:themeTint="A6"/>
                                  <w:sz w:val="72"/>
                                  <w:szCs w:val="72"/>
                                  <w:lang w:val="fr-FR"/>
                                </w:rPr>
                              </w:pPr>
                              <w:r w:rsidRPr="00775AD1">
                                <w:rPr>
                                  <w:rFonts w:eastAsiaTheme="majorEastAsia" w:cstheme="majorBidi"/>
                                  <w:color w:val="808080" w:themeColor="text1" w:themeTint="A6"/>
                                  <w:sz w:val="72"/>
                                  <w:szCs w:val="72"/>
                                  <w:lang w:val="fr-FR"/>
                                </w:rPr>
                                <w:t>Modèle</w:t>
                              </w:r>
                              <w:r w:rsidR="008C5E85" w:rsidRPr="00775AD1">
                                <w:rPr>
                                  <w:rFonts w:eastAsiaTheme="majorEastAsia" w:cstheme="majorBidi"/>
                                  <w:color w:val="808080" w:themeColor="text1" w:themeTint="A6"/>
                                  <w:sz w:val="72"/>
                                  <w:szCs w:val="72"/>
                                  <w:lang w:val="fr-FR"/>
                                </w:rPr>
                                <w:t>:</w:t>
                              </w:r>
                              <w:r w:rsidR="00632F23" w:rsidRPr="00775AD1">
                                <w:rPr>
                                  <w:rFonts w:eastAsiaTheme="majorEastAsia" w:cstheme="majorBidi"/>
                                  <w:color w:val="808080" w:themeColor="text1" w:themeTint="A6"/>
                                  <w:sz w:val="72"/>
                                  <w:szCs w:val="72"/>
                                  <w:lang w:val="fr-FR"/>
                                </w:rPr>
                                <w:t xml:space="preserve">                       </w:t>
                              </w:r>
                              <w:r w:rsidR="00281839" w:rsidRPr="00775AD1">
                                <w:rPr>
                                  <w:rFonts w:eastAsiaTheme="majorEastAsia" w:cstheme="majorBidi"/>
                                  <w:color w:val="808080" w:themeColor="text1" w:themeTint="A6"/>
                                  <w:sz w:val="72"/>
                                  <w:szCs w:val="72"/>
                                  <w:lang w:val="fr-FR"/>
                                </w:rPr>
                                <w:t xml:space="preserve">      </w:t>
                              </w:r>
                              <w:r w:rsidR="00775AD1" w:rsidRPr="00775AD1">
                                <w:rPr>
                                  <w:rFonts w:eastAsiaTheme="majorEastAsia" w:cstheme="majorBidi"/>
                                  <w:color w:val="808080" w:themeColor="text1" w:themeTint="A6"/>
                                  <w:sz w:val="72"/>
                                  <w:szCs w:val="72"/>
                                  <w:lang w:val="fr-FR"/>
                                </w:rPr>
                                <w:t xml:space="preserve">     </w:t>
                              </w:r>
                              <w:r w:rsidR="00632F23" w:rsidRPr="00775AD1">
                                <w:rPr>
                                  <w:rFonts w:eastAsiaTheme="majorEastAsia" w:cstheme="majorBidi"/>
                                  <w:color w:val="808080" w:themeColor="text1" w:themeTint="A6"/>
                                  <w:sz w:val="72"/>
                                  <w:szCs w:val="72"/>
                                  <w:lang w:val="fr-FR"/>
                                </w:rPr>
                                <w:t>Term</w:t>
                              </w:r>
                              <w:r w:rsidR="00775AD1" w:rsidRPr="00775AD1">
                                <w:rPr>
                                  <w:rFonts w:eastAsiaTheme="majorEastAsia" w:cstheme="majorBidi"/>
                                  <w:color w:val="808080" w:themeColor="text1" w:themeTint="A6"/>
                                  <w:sz w:val="72"/>
                                  <w:szCs w:val="72"/>
                                  <w:lang w:val="fr-FR"/>
                                </w:rPr>
                                <w:t>e</w:t>
                              </w:r>
                              <w:r w:rsidR="008C5E85" w:rsidRPr="00775AD1">
                                <w:rPr>
                                  <w:rFonts w:eastAsiaTheme="majorEastAsia" w:cstheme="majorBidi"/>
                                  <w:color w:val="808080" w:themeColor="text1" w:themeTint="A6"/>
                                  <w:sz w:val="72"/>
                                  <w:szCs w:val="72"/>
                                  <w:lang w:val="fr-FR"/>
                                </w:rPr>
                                <w:t>s</w:t>
                              </w:r>
                              <w:r w:rsidR="00775AD1" w:rsidRPr="00775AD1">
                                <w:rPr>
                                  <w:rFonts w:eastAsiaTheme="majorEastAsia" w:cstheme="majorBidi"/>
                                  <w:color w:val="808080" w:themeColor="text1" w:themeTint="A6"/>
                                  <w:sz w:val="72"/>
                                  <w:szCs w:val="72"/>
                                  <w:lang w:val="fr-FR"/>
                                </w:rPr>
                                <w:t xml:space="preserve"> de réfé</w:t>
                              </w:r>
                              <w:r w:rsidR="00632F23" w:rsidRPr="00775AD1">
                                <w:rPr>
                                  <w:rFonts w:eastAsiaTheme="majorEastAsia" w:cstheme="majorBidi"/>
                                  <w:color w:val="808080" w:themeColor="text1" w:themeTint="A6"/>
                                  <w:sz w:val="72"/>
                                  <w:szCs w:val="72"/>
                                  <w:lang w:val="fr-FR"/>
                                </w:rPr>
                                <w:t>rence</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40CCC85E" w:rsidR="0041703E" w:rsidRPr="00BA6AE6" w:rsidRDefault="00BA6AE6">
                              <w:pPr>
                                <w:pStyle w:val="NoSpacing"/>
                                <w:spacing w:before="240"/>
                                <w:rPr>
                                  <w:caps/>
                                  <w:color w:val="3C3C3C" w:themeColor="text2"/>
                                  <w:sz w:val="36"/>
                                  <w:szCs w:val="36"/>
                                  <w:lang w:val="fr-FR"/>
                                </w:rPr>
                              </w:pPr>
                              <w:r>
                                <w:rPr>
                                  <w:caps/>
                                  <w:color w:val="3C3C3C" w:themeColor="text2"/>
                                  <w:sz w:val="36"/>
                                  <w:szCs w:val="36"/>
                                  <w:lang w:val="fr-FR"/>
                                </w:rPr>
                                <w:t>2022</w:t>
                              </w:r>
                            </w:p>
                          </w:sdtContent>
                        </w:sdt>
                      </w:txbxContent>
                    </v:textbox>
                  </v:shape>
                </w:pict>
              </mc:Fallback>
            </mc:AlternateContent>
          </w:r>
          <w:r w:rsidR="00775AD1" w:rsidRPr="00663B42">
            <w:rPr>
              <w:noProof/>
              <w:lang w:val="en-GB" w:eastAsia="en-GB"/>
            </w:rPr>
            <w:drawing>
              <wp:inline distT="0" distB="0" distL="0" distR="0" wp14:anchorId="23DB0E55" wp14:editId="25C18B87">
                <wp:extent cx="5942697" cy="1133475"/>
                <wp:effectExtent l="0" t="0" r="127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3"/>
                        <a:stretch>
                          <a:fillRect/>
                        </a:stretch>
                      </pic:blipFill>
                      <pic:spPr>
                        <a:xfrm>
                          <a:off x="0" y="0"/>
                          <a:ext cx="5949105" cy="1134697"/>
                        </a:xfrm>
                        <a:prstGeom prst="rect">
                          <a:avLst/>
                        </a:prstGeom>
                      </pic:spPr>
                    </pic:pic>
                  </a:graphicData>
                </a:graphic>
              </wp:inline>
            </w:drawing>
          </w:r>
        </w:p>
        <w:p w14:paraId="05412E04" w14:textId="77777777" w:rsidR="0041703E" w:rsidRPr="00663B42" w:rsidRDefault="009C20D9">
          <w:pPr>
            <w:rPr>
              <w:lang w:val="fr-FR"/>
            </w:rPr>
          </w:pPr>
          <w:r w:rsidRPr="00663B42">
            <w:rPr>
              <w:noProof/>
              <w:lang w:val="en-GB" w:eastAsia="en-GB"/>
            </w:rPr>
            <w:drawing>
              <wp:anchor distT="0" distB="0" distL="114300" distR="114300" simplePos="0" relativeHeight="251656704" behindDoc="0" locked="0" layoutInCell="1" allowOverlap="1" wp14:anchorId="05412E19" wp14:editId="5D4F7272">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rsidRPr="00663B42">
            <w:rPr>
              <w:lang w:val="fr-FR"/>
            </w:rPr>
            <w:br w:type="page"/>
          </w:r>
        </w:p>
        <w:bookmarkStart w:id="0" w:name="_GoBack" w:displacedByCustomXml="next"/>
        <w:bookmarkEnd w:id="0" w:displacedByCustomXml="next"/>
      </w:sdtContent>
    </w:sdt>
    <w:p w14:paraId="666CC774" w14:textId="417F5F09" w:rsidR="00EA03DE" w:rsidRPr="00663B42" w:rsidRDefault="00060D02" w:rsidP="0051623B">
      <w:pPr>
        <w:pStyle w:val="Heading1"/>
        <w:jc w:val="center"/>
        <w:rPr>
          <w:lang w:val="fr-FR"/>
        </w:rPr>
      </w:pPr>
      <w:r w:rsidRPr="00663B42">
        <w:rPr>
          <w:noProof/>
          <w:lang w:val="en-GB" w:eastAsia="en-GB"/>
        </w:rPr>
        <w:lastRenderedPageBreak/>
        <mc:AlternateContent>
          <mc:Choice Requires="wps">
            <w:drawing>
              <wp:anchor distT="182880" distB="182880" distL="182880" distR="182880" simplePos="0" relativeHeight="251659776" behindDoc="0" locked="0" layoutInCell="1" allowOverlap="1" wp14:anchorId="4A7AB00D" wp14:editId="73DECCAC">
                <wp:simplePos x="0" y="0"/>
                <wp:positionH relativeFrom="margin">
                  <wp:align>right</wp:align>
                </wp:positionH>
                <wp:positionV relativeFrom="margin">
                  <wp:posOffset>1434465</wp:posOffset>
                </wp:positionV>
                <wp:extent cx="6022340" cy="1927225"/>
                <wp:effectExtent l="0" t="0" r="0" b="0"/>
                <wp:wrapSquare wrapText="bothSides"/>
                <wp:docPr id="117" name="Snip Single Corner Rectangle 117"/>
                <wp:cNvGraphicFramePr/>
                <a:graphic xmlns:a="http://schemas.openxmlformats.org/drawingml/2006/main">
                  <a:graphicData uri="http://schemas.microsoft.com/office/word/2010/wordprocessingShape">
                    <wps:wsp>
                      <wps:cNvSpPr/>
                      <wps:spPr>
                        <a:xfrm>
                          <a:off x="0" y="0"/>
                          <a:ext cx="6022340" cy="1927225"/>
                        </a:xfrm>
                        <a:prstGeom prst="snip1Rect">
                          <a:avLst>
                            <a:gd name="adj" fmla="val 1282"/>
                          </a:avLst>
                        </a:prstGeom>
                        <a:solidFill>
                          <a:schemeClr val="accent2"/>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47C8136D" w14:textId="5A9A416D" w:rsidR="00EA03DE" w:rsidRPr="00060D02" w:rsidRDefault="00EA03DE" w:rsidP="00EA03DE">
                            <w:pPr>
                              <w:rPr>
                                <w:lang w:val="fr-FR"/>
                              </w:rPr>
                            </w:pPr>
                            <w:r w:rsidRPr="00060D02">
                              <w:rPr>
                                <w:color w:val="FFFFFF" w:themeColor="background1"/>
                                <w:lang w:val="fr-FR"/>
                              </w:rPr>
                              <w:t xml:space="preserve">INTRODUCTION   </w:t>
                            </w:r>
                            <w:r w:rsidRPr="00060D02">
                              <w:rPr>
                                <w:color w:val="F2F2F2" w:themeColor="background2"/>
                                <w:lang w:val="fr-FR"/>
                              </w:rPr>
                              <w:t xml:space="preserve"> </w:t>
                            </w:r>
                            <w:r w:rsidRPr="00060D02">
                              <w:rPr>
                                <w:lang w:val="fr-FR"/>
                              </w:rPr>
                              <w:t xml:space="preserve">                                  </w:t>
                            </w:r>
                            <w:r w:rsidR="00060D02">
                              <w:rPr>
                                <w:highlight w:val="yellow"/>
                                <w:lang w:val="fr-FR"/>
                              </w:rPr>
                              <w:t>[</w:t>
                            </w:r>
                            <w:r w:rsidR="00060D02" w:rsidRPr="00060D02">
                              <w:rPr>
                                <w:highlight w:val="yellow"/>
                                <w:lang w:val="fr-FR"/>
                              </w:rPr>
                              <w:t>Supprimer cette case lors de la rédaction des</w:t>
                            </w:r>
                            <w:r w:rsidR="00060D02">
                              <w:rPr>
                                <w:highlight w:val="yellow"/>
                                <w:lang w:val="fr-FR"/>
                              </w:rPr>
                              <w:t xml:space="preserve"> TdR</w:t>
                            </w:r>
                            <w:r w:rsidRPr="00060D02">
                              <w:rPr>
                                <w:highlight w:val="yellow"/>
                                <w:lang w:val="fr-FR"/>
                              </w:rPr>
                              <w:t>]</w:t>
                            </w:r>
                          </w:p>
                          <w:p w14:paraId="126E2E49" w14:textId="77777777" w:rsidR="00060D02" w:rsidRPr="00DF5693" w:rsidRDefault="00060D02" w:rsidP="00060D02">
                            <w:pPr>
                              <w:rPr>
                                <w:color w:val="FFFFFF" w:themeColor="background1"/>
                                <w:lang w:val="fr-FR"/>
                              </w:rPr>
                            </w:pPr>
                            <w:r w:rsidRPr="00DF5693">
                              <w:rPr>
                                <w:color w:val="FFFFFF" w:themeColor="background1"/>
                                <w:lang w:val="fr-FR"/>
                              </w:rPr>
                              <w:t>Ce modèle fournit des renseignements contextuels et une description détaillée des tâches à accomplir et des résultats à atteindre dans le cadre d'une évaluation de la MAPS. Il peut servir de guide au pays ou à l'institution qui procède à une évaluation de la MAPS pour préciser la portée du travail à fournir par des experts externes (consultants).</w:t>
                            </w:r>
                          </w:p>
                          <w:p w14:paraId="27F2502E" w14:textId="7130C37F" w:rsidR="00060D02" w:rsidRPr="00DF5693" w:rsidRDefault="00D649B6" w:rsidP="00060D02">
                            <w:pPr>
                              <w:rPr>
                                <w:color w:val="FFFFFF" w:themeColor="background1"/>
                                <w:lang w:val="fr-FR"/>
                              </w:rPr>
                            </w:pPr>
                            <w:r>
                              <w:rPr>
                                <w:color w:val="FFFFFF" w:themeColor="background1"/>
                                <w:lang w:val="fr-FR"/>
                              </w:rPr>
                              <w:t xml:space="preserve">Le </w:t>
                            </w:r>
                            <w:r w:rsidR="00F86085">
                              <w:rPr>
                                <w:color w:val="FFFFFF" w:themeColor="background1"/>
                                <w:lang w:val="fr-FR"/>
                              </w:rPr>
                              <w:t>Secrétariat de la MAPS offre</w:t>
                            </w:r>
                            <w:r w:rsidR="00060D02" w:rsidRPr="00DF5693">
                              <w:rPr>
                                <w:color w:val="FFFFFF" w:themeColor="background1"/>
                                <w:lang w:val="fr-FR"/>
                              </w:rPr>
                              <w:t>, sur demande, des conseils aux équipes de pays pour la planification et la gestion des évaluations de la MAPS, y compris l'examen de la qualité des termes de référence pour les évaluations de la MAPS.</w:t>
                            </w:r>
                          </w:p>
                          <w:p w14:paraId="31215405" w14:textId="4B4E6D3D" w:rsidR="00632F23" w:rsidRPr="00060D02" w:rsidRDefault="00632F23" w:rsidP="00060D02">
                            <w:pPr>
                              <w:rPr>
                                <w:color w:val="FFFFFF" w:themeColor="background1"/>
                                <w:szCs w:val="28"/>
                                <w:lang w:val="fr-FR"/>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AB00D" id="Snip Single Corner Rectangle 117" o:spid="_x0000_s1027" style="position:absolute;left:0;text-align:left;margin-left:423pt;margin-top:112.95pt;width:474.2pt;height:151.75pt;z-index:251659776;visibility:visible;mso-wrap-style:square;mso-width-percent:0;mso-height-percent:0;mso-wrap-distance-left:14.4pt;mso-wrap-distance-top:14.4pt;mso-wrap-distance-right:14.4pt;mso-wrap-distance-bottom:14.4pt;mso-position-horizontal:right;mso-position-horizontal-relative:margin;mso-position-vertical:absolute;mso-position-vertical-relative:margin;mso-width-percent:0;mso-height-percent:0;mso-width-relative:margin;mso-height-relative:margin;v-text-anchor:top" coordsize="6022340,192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" adj="-11796480,,5400" path="m,l5997633,r24707,24707l6022340,1927225,,1927225,,xe" fillcolor="#0dab7e [3205]" stroked="f" strokeweight="1pt">
                <v:stroke joinstyle="miter"/>
                <v:formulas/>
                <v:path arrowok="t" o:connecttype="custom" o:connectlocs="0,0;5997633,0;6022340,24707;6022340,1927225;0,1927225;0,0" o:connectangles="0,0,0,0,0,0" textboxrect="0,0,6022340,1927225"/>
                <v:textbox inset="10.8pt,7.2pt,,7.2pt">
                  <w:txbxContent>
                    <w:p w14:paraId="47C8136D" w14:textId="5A9A416D" w:rsidR="00EA03DE" w:rsidRPr="00060D02" w:rsidRDefault="00EA03DE" w:rsidP="00EA03DE">
                      <w:pPr>
                        <w:rPr>
                          <w:lang w:val="fr-FR"/>
                        </w:rPr>
                      </w:pPr>
                      <w:r w:rsidRPr="00060D02">
                        <w:rPr>
                          <w:color w:val="FFFFFF" w:themeColor="background1"/>
                          <w:lang w:val="fr-FR"/>
                        </w:rPr>
                        <w:t xml:space="preserve">INTRODUCTION   </w:t>
                      </w:r>
                      <w:r w:rsidRPr="00060D02">
                        <w:rPr>
                          <w:color w:val="F2F2F2" w:themeColor="background2"/>
                          <w:lang w:val="fr-FR"/>
                        </w:rPr>
                        <w:t xml:space="preserve"> </w:t>
                      </w:r>
                      <w:r w:rsidRPr="00060D02">
                        <w:rPr>
                          <w:lang w:val="fr-FR"/>
                        </w:rPr>
                        <w:t xml:space="preserve">                                  </w:t>
                      </w:r>
                      <w:r w:rsidR="00060D02">
                        <w:rPr>
                          <w:highlight w:val="yellow"/>
                          <w:lang w:val="fr-FR"/>
                        </w:rPr>
                        <w:t>[</w:t>
                      </w:r>
                      <w:r w:rsidR="00060D02" w:rsidRPr="00060D02">
                        <w:rPr>
                          <w:highlight w:val="yellow"/>
                          <w:lang w:val="fr-FR"/>
                        </w:rPr>
                        <w:t>Supprimer cette case lors de la rédaction des</w:t>
                      </w:r>
                      <w:r w:rsidR="00060D02">
                        <w:rPr>
                          <w:highlight w:val="yellow"/>
                          <w:lang w:val="fr-FR"/>
                        </w:rPr>
                        <w:t xml:space="preserve"> TdR</w:t>
                      </w:r>
                      <w:r w:rsidRPr="00060D02">
                        <w:rPr>
                          <w:highlight w:val="yellow"/>
                          <w:lang w:val="fr-FR"/>
                        </w:rPr>
                        <w:t>]</w:t>
                      </w:r>
                    </w:p>
                    <w:p w14:paraId="126E2E49" w14:textId="77777777" w:rsidR="00060D02" w:rsidRPr="00DF5693" w:rsidRDefault="00060D02" w:rsidP="00060D02">
                      <w:pPr>
                        <w:rPr>
                          <w:color w:val="FFFFFF" w:themeColor="background1"/>
                          <w:lang w:val="fr-FR"/>
                        </w:rPr>
                      </w:pPr>
                      <w:r w:rsidRPr="00DF5693">
                        <w:rPr>
                          <w:color w:val="FFFFFF" w:themeColor="background1"/>
                          <w:lang w:val="fr-FR"/>
                        </w:rPr>
                        <w:t>Ce modèle fournit des renseignements contextuels et une description détaillée des tâches à accomplir et des résultats à atteindre dans le cadre d'une évaluation de la MAPS. Il peut servir de guide au pays ou à l'institution qui procède à une évaluation de la MAPS pour préciser la portée du travail à fournir par des experts externes (consultants).</w:t>
                      </w:r>
                    </w:p>
                    <w:p w14:paraId="27F2502E" w14:textId="7130C37F" w:rsidR="00060D02" w:rsidRPr="00DF5693" w:rsidRDefault="00D649B6" w:rsidP="00060D02">
                      <w:pPr>
                        <w:rPr>
                          <w:color w:val="FFFFFF" w:themeColor="background1"/>
                          <w:lang w:val="fr-FR"/>
                        </w:rPr>
                      </w:pPr>
                      <w:r>
                        <w:rPr>
                          <w:color w:val="FFFFFF" w:themeColor="background1"/>
                          <w:lang w:val="fr-FR"/>
                        </w:rPr>
                        <w:t xml:space="preserve">Le </w:t>
                      </w:r>
                      <w:r w:rsidR="00F86085">
                        <w:rPr>
                          <w:color w:val="FFFFFF" w:themeColor="background1"/>
                          <w:lang w:val="fr-FR"/>
                        </w:rPr>
                        <w:t>Secrétariat de la MAPS offre</w:t>
                      </w:r>
                      <w:r w:rsidR="00060D02" w:rsidRPr="00DF5693">
                        <w:rPr>
                          <w:color w:val="FFFFFF" w:themeColor="background1"/>
                          <w:lang w:val="fr-FR"/>
                        </w:rPr>
                        <w:t>, sur demande, des conseils aux équipes de pays pour la planification et la gestion des évaluations de la MAPS, y compris l'examen de la qualité des termes de référence pour les évaluations de la MAPS.</w:t>
                      </w:r>
                    </w:p>
                    <w:p w14:paraId="31215405" w14:textId="4B4E6D3D" w:rsidR="00632F23" w:rsidRPr="00060D02" w:rsidRDefault="00632F23" w:rsidP="00060D02">
                      <w:pPr>
                        <w:rPr>
                          <w:color w:val="FFFFFF" w:themeColor="background1"/>
                          <w:szCs w:val="28"/>
                          <w:lang w:val="fr-FR"/>
                        </w:rPr>
                      </w:pPr>
                    </w:p>
                  </w:txbxContent>
                </v:textbox>
                <w10:wrap type="square" anchorx="margin" anchory="margin"/>
              </v:shape>
            </w:pict>
          </mc:Fallback>
        </mc:AlternateContent>
      </w:r>
      <w:r w:rsidRPr="00663B42">
        <w:rPr>
          <w:rFonts w:cstheme="minorHAnsi"/>
          <w:lang w:val="fr-FR"/>
        </w:rPr>
        <w:t>É</w:t>
      </w:r>
      <w:r w:rsidRPr="00663B42">
        <w:rPr>
          <w:lang w:val="fr-FR"/>
        </w:rPr>
        <w:t xml:space="preserve">valuation des systèmes de passation des </w:t>
      </w:r>
      <w:r w:rsidR="00E81898">
        <w:rPr>
          <w:lang w:val="fr-FR"/>
        </w:rPr>
        <w:t>marché</w:t>
      </w:r>
      <w:r w:rsidRPr="00663B42">
        <w:rPr>
          <w:lang w:val="fr-FR"/>
        </w:rPr>
        <w:t>s du</w:t>
      </w:r>
      <w:r w:rsidR="0051623B" w:rsidRPr="00663B42">
        <w:rPr>
          <w:lang w:val="fr-FR"/>
        </w:rPr>
        <w:t xml:space="preserve"> [</w:t>
      </w:r>
      <w:r w:rsidRPr="00663B42">
        <w:rPr>
          <w:lang w:val="fr-FR"/>
        </w:rPr>
        <w:t xml:space="preserve">pays] </w:t>
      </w:r>
      <w:r w:rsidR="00E81898">
        <w:rPr>
          <w:lang w:val="fr-FR"/>
        </w:rPr>
        <w:t>sur la base de</w:t>
      </w:r>
      <w:r w:rsidRPr="00663B42">
        <w:rPr>
          <w:lang w:val="fr-FR"/>
        </w:rPr>
        <w:t xml:space="preserve"> la Mé</w:t>
      </w:r>
      <w:r w:rsidR="0051623B" w:rsidRPr="00663B42">
        <w:rPr>
          <w:lang w:val="fr-FR"/>
        </w:rPr>
        <w:t>thodolog</w:t>
      </w:r>
      <w:r w:rsidRPr="00663B42">
        <w:rPr>
          <w:lang w:val="fr-FR"/>
        </w:rPr>
        <w:t xml:space="preserve">ie d’évaluation des systèmes de passation des marchés </w:t>
      </w:r>
      <w:r w:rsidR="0051623B" w:rsidRPr="00663B42">
        <w:rPr>
          <w:lang w:val="fr-FR"/>
        </w:rPr>
        <w:t xml:space="preserve">(MAPS) </w:t>
      </w:r>
    </w:p>
    <w:p w14:paraId="5912093E" w14:textId="05AE59E7" w:rsidR="0051623B" w:rsidRPr="00663B42" w:rsidRDefault="00060D02" w:rsidP="0051623B">
      <w:pPr>
        <w:rPr>
          <w:lang w:val="fr-FR"/>
        </w:rPr>
      </w:pPr>
      <w:r w:rsidRPr="00663B42">
        <w:rPr>
          <w:highlight w:val="yellow"/>
          <w:lang w:val="fr-FR"/>
        </w:rPr>
        <w:t>[</w:t>
      </w:r>
      <w:r w:rsidRPr="00663B42">
        <w:rPr>
          <w:rFonts w:cstheme="minorHAnsi"/>
          <w:highlight w:val="yellow"/>
          <w:lang w:val="fr-FR"/>
        </w:rPr>
        <w:t>À</w:t>
      </w:r>
      <w:r w:rsidRPr="00663B42">
        <w:rPr>
          <w:highlight w:val="yellow"/>
          <w:lang w:val="fr-FR"/>
        </w:rPr>
        <w:t xml:space="preserve"> compléter, adapter et aligner avec la note</w:t>
      </w:r>
      <w:r w:rsidR="00B96496">
        <w:rPr>
          <w:highlight w:val="yellow"/>
          <w:lang w:val="fr-FR"/>
        </w:rPr>
        <w:t xml:space="preserve"> de synthèse, le cas échéant :]</w:t>
      </w:r>
    </w:p>
    <w:p w14:paraId="23F967F1" w14:textId="1A7B239C" w:rsidR="0051623B" w:rsidRPr="00663B42" w:rsidRDefault="0051623B" w:rsidP="0051623B">
      <w:pPr>
        <w:pStyle w:val="Heading2"/>
        <w:rPr>
          <w:lang w:val="fr-FR"/>
        </w:rPr>
      </w:pPr>
      <w:r w:rsidRPr="00663B42">
        <w:rPr>
          <w:lang w:val="fr-FR"/>
        </w:rPr>
        <w:t>1. Context</w:t>
      </w:r>
      <w:r w:rsidR="00060D02" w:rsidRPr="00663B42">
        <w:rPr>
          <w:lang w:val="fr-FR"/>
        </w:rPr>
        <w:t>e</w:t>
      </w:r>
    </w:p>
    <w:p w14:paraId="0A032937" w14:textId="4A44F0DD" w:rsidR="00060D02" w:rsidRPr="004C4A7F" w:rsidRDefault="00060D02" w:rsidP="00060D02">
      <w:pPr>
        <w:rPr>
          <w:rFonts w:ascii="Calibri" w:hAnsi="Calibri"/>
          <w:lang w:val="fr-FR"/>
        </w:rPr>
      </w:pPr>
      <w:r w:rsidRPr="004C4A7F">
        <w:rPr>
          <w:rFonts w:ascii="Calibri" w:hAnsi="Calibri"/>
          <w:lang w:val="fr-FR"/>
        </w:rPr>
        <w:t>Les marchés publics constituent un élément crucial de la bonne gouvernance, de la réduction de la pauvreté et du développement durable. Les gouvernements du monde entier dépensent chaque année environ 9,5 billions d’USD en marchés publics. Cela signifie qu'en moyenne, les marchés publics représentent environ 12 à 20% du PIB d'un pays. Par conséquent, le renforcement des systèmes de passation des marchés publics est primordial pour aboutir à des résultats concrets et durables et pour bâtir des institutions efficaces.</w:t>
      </w:r>
    </w:p>
    <w:p w14:paraId="3650D183" w14:textId="0E87503B" w:rsidR="00060D02" w:rsidRPr="004C4A7F" w:rsidRDefault="00060D02" w:rsidP="00060D02">
      <w:pPr>
        <w:rPr>
          <w:rFonts w:ascii="Calibri" w:hAnsi="Calibri"/>
          <w:lang w:val="fr-FR"/>
        </w:rPr>
      </w:pPr>
      <w:r w:rsidRPr="004C4A7F">
        <w:rPr>
          <w:rFonts w:ascii="Calibri" w:hAnsi="Calibri"/>
          <w:lang w:val="fr-FR"/>
        </w:rPr>
        <w:t>La Méthodologie d'évaluation des systèmes de passation des marchés (MAPS) a été initialement mise au point en 2003/2004 pour évaluer et améliorer les systèmes de passation de</w:t>
      </w:r>
      <w:r w:rsidR="004C4A7F">
        <w:rPr>
          <w:rFonts w:ascii="Calibri" w:hAnsi="Calibri"/>
          <w:lang w:val="fr-FR"/>
        </w:rPr>
        <w:t>s</w:t>
      </w:r>
      <w:r w:rsidRPr="004C4A7F">
        <w:rPr>
          <w:rFonts w:ascii="Calibri" w:hAnsi="Calibri"/>
          <w:lang w:val="fr-FR"/>
        </w:rPr>
        <w:t xml:space="preserve"> marchés publics en fournissant un outil commun permettant d’analyser les informations portant sur les aspects essentiels d’un système particulier.  La MAPS a été largement utilisée pour évaluer la qualité et l'efficacité des systèmes de passation des marchés publics, élaborer des stratégies, et mettre en œuvre des réformes sur la base des forces et des faiblesses identifiées. La nouvelle MAPS</w:t>
      </w:r>
      <w:r w:rsidRPr="004C4A7F">
        <w:rPr>
          <w:rStyle w:val="FootnoteReference"/>
          <w:rFonts w:ascii="Calibri" w:hAnsi="Calibri"/>
          <w:lang w:val="fr-FR"/>
        </w:rPr>
        <w:footnoteReference w:id="1"/>
      </w:r>
      <w:r w:rsidRPr="004C4A7F">
        <w:rPr>
          <w:rFonts w:ascii="Calibri" w:hAnsi="Calibri"/>
          <w:lang w:val="fr-FR"/>
        </w:rPr>
        <w:t xml:space="preserve"> est un outil universel qui vise à promouvoir et à accélérer la mise en place de systèmes de passation des marchés publics modernes, efficaces, durables et plus inclusifs dans tous les pays. Elle tient compte des éléments contextuels pour garantir que l'application de la MAPS repose sur une bonne compréhension du contexte dans lequel les institutions de marchés publics et les autres parties prenantes opèrent dans un pays donné.</w:t>
      </w:r>
    </w:p>
    <w:p w14:paraId="5959FE90" w14:textId="0A84113B" w:rsidR="0051623B" w:rsidRPr="004C4A7F" w:rsidRDefault="00060D02" w:rsidP="00060D02">
      <w:pPr>
        <w:rPr>
          <w:rFonts w:ascii="Calibri" w:hAnsi="Calibri"/>
          <w:lang w:val="fr-FR"/>
        </w:rPr>
      </w:pPr>
      <w:r w:rsidRPr="004C4A7F">
        <w:rPr>
          <w:rFonts w:ascii="Calibri" w:hAnsi="Calibri"/>
          <w:lang w:val="fr-FR"/>
        </w:rPr>
        <w:lastRenderedPageBreak/>
        <w:t>La méthodologie MAPS sera appliquée pour évaluer la qualité et la performance du système de passation des marchés publics en</w:t>
      </w:r>
      <w:r w:rsidR="004C4A7F">
        <w:rPr>
          <w:rFonts w:ascii="Calibri" w:hAnsi="Calibri"/>
          <w:lang w:val="fr-FR"/>
        </w:rPr>
        <w:t xml:space="preserve"> </w:t>
      </w:r>
      <w:r w:rsidRPr="004C4A7F">
        <w:rPr>
          <w:rFonts w:ascii="Calibri" w:hAnsi="Calibri"/>
          <w:lang w:val="fr-FR"/>
        </w:rPr>
        <w:t>[pays].</w:t>
      </w:r>
    </w:p>
    <w:p w14:paraId="4C84D86F" w14:textId="4D1B0777" w:rsidR="00F16017" w:rsidRPr="00663B42" w:rsidRDefault="00F16017" w:rsidP="00F16017">
      <w:pPr>
        <w:pStyle w:val="Heading2"/>
        <w:rPr>
          <w:lang w:val="fr-FR" w:eastAsia="en-GB"/>
        </w:rPr>
      </w:pPr>
      <w:r w:rsidRPr="00663B42">
        <w:rPr>
          <w:lang w:val="fr-FR" w:eastAsia="en-GB"/>
        </w:rPr>
        <w:t>2. Objecti</w:t>
      </w:r>
      <w:r w:rsidR="002E2D79" w:rsidRPr="00663B42">
        <w:rPr>
          <w:lang w:val="fr-FR" w:eastAsia="en-GB"/>
        </w:rPr>
        <w:t>fs</w:t>
      </w:r>
    </w:p>
    <w:p w14:paraId="336C8619" w14:textId="17271A76" w:rsidR="002E2D79" w:rsidRPr="00663B42" w:rsidRDefault="002E2D79" w:rsidP="002E2D79">
      <w:pPr>
        <w:rPr>
          <w:lang w:val="fr-FR" w:eastAsia="en-GB"/>
        </w:rPr>
      </w:pPr>
      <w:r w:rsidRPr="00663B42">
        <w:rPr>
          <w:lang w:val="fr-FR" w:eastAsia="en-GB"/>
        </w:rPr>
        <w:t>L'objectif de cette mission est l'évaluation des systèmes de passation de</w:t>
      </w:r>
      <w:r w:rsidR="004C4A7F">
        <w:rPr>
          <w:lang w:val="fr-FR" w:eastAsia="en-GB"/>
        </w:rPr>
        <w:t>s</w:t>
      </w:r>
      <w:r w:rsidRPr="00663B42">
        <w:rPr>
          <w:lang w:val="fr-FR" w:eastAsia="en-GB"/>
        </w:rPr>
        <w:t xml:space="preserve"> marchés publics de[pays] sur la base de la méthodologie d'évaluation des systèmes de passation de</w:t>
      </w:r>
      <w:r w:rsidR="004C4A7F">
        <w:rPr>
          <w:lang w:val="fr-FR" w:eastAsia="en-GB"/>
        </w:rPr>
        <w:t>s</w:t>
      </w:r>
      <w:r w:rsidRPr="00663B42">
        <w:rPr>
          <w:lang w:val="fr-FR" w:eastAsia="en-GB"/>
        </w:rPr>
        <w:t xml:space="preserve"> </w:t>
      </w:r>
      <w:r w:rsidR="00D649B6">
        <w:rPr>
          <w:lang w:val="fr-FR" w:eastAsia="en-GB"/>
        </w:rPr>
        <w:t>marchés (MAPS), de la version 2018</w:t>
      </w:r>
      <w:r w:rsidRPr="00663B42">
        <w:rPr>
          <w:lang w:val="fr-FR" w:eastAsia="en-GB"/>
        </w:rPr>
        <w:t xml:space="preserve">, à : </w:t>
      </w:r>
    </w:p>
    <w:p w14:paraId="65613396" w14:textId="4F7404E7" w:rsidR="002E2D79" w:rsidRPr="00663B42" w:rsidRDefault="002E2D79" w:rsidP="002E2D79">
      <w:pPr>
        <w:pStyle w:val="ListParagraph"/>
        <w:numPr>
          <w:ilvl w:val="0"/>
          <w:numId w:val="1"/>
        </w:numPr>
        <w:rPr>
          <w:lang w:val="fr-FR" w:eastAsia="en-GB"/>
        </w:rPr>
      </w:pPr>
      <w:r w:rsidRPr="00663B42">
        <w:rPr>
          <w:lang w:val="fr-FR" w:eastAsia="en-GB"/>
        </w:rPr>
        <w:t>Identifier les forces et les faiblesses des systèmes de marchés publics existants ;</w:t>
      </w:r>
    </w:p>
    <w:p w14:paraId="5D04FEC5" w14:textId="30ECE384" w:rsidR="002E2D79" w:rsidRPr="00663B42" w:rsidRDefault="002E2D79" w:rsidP="002E2D79">
      <w:pPr>
        <w:pStyle w:val="ListParagraph"/>
        <w:numPr>
          <w:ilvl w:val="0"/>
          <w:numId w:val="1"/>
        </w:numPr>
        <w:rPr>
          <w:lang w:val="fr-FR" w:eastAsia="en-GB"/>
        </w:rPr>
      </w:pPr>
      <w:r w:rsidRPr="00663B42">
        <w:rPr>
          <w:lang w:val="fr-FR" w:eastAsia="en-GB"/>
        </w:rPr>
        <w:t xml:space="preserve">Informer le processus de planification stratégique pour la réforme future et le développement du système ; </w:t>
      </w:r>
    </w:p>
    <w:p w14:paraId="23AEC062" w14:textId="0AE11161" w:rsidR="002E2D79" w:rsidRPr="00663B42" w:rsidRDefault="002E2D79" w:rsidP="002E2D79">
      <w:pPr>
        <w:pStyle w:val="ListParagraph"/>
        <w:numPr>
          <w:ilvl w:val="0"/>
          <w:numId w:val="1"/>
        </w:numPr>
        <w:rPr>
          <w:lang w:val="fr-FR" w:eastAsia="en-GB"/>
        </w:rPr>
      </w:pPr>
      <w:r w:rsidRPr="00663B42">
        <w:rPr>
          <w:lang w:val="fr-FR" w:eastAsia="en-GB"/>
        </w:rPr>
        <w:t>Établir une base de référence pour le suivi des progrès ; et</w:t>
      </w:r>
    </w:p>
    <w:p w14:paraId="71CEC0B2" w14:textId="77646238" w:rsidR="002E2D79" w:rsidRPr="00663B42" w:rsidRDefault="002E2D79" w:rsidP="002E2D79">
      <w:pPr>
        <w:pStyle w:val="ListParagraph"/>
        <w:numPr>
          <w:ilvl w:val="0"/>
          <w:numId w:val="1"/>
        </w:numPr>
        <w:rPr>
          <w:lang w:val="fr-FR" w:eastAsia="en-GB"/>
        </w:rPr>
      </w:pPr>
      <w:r w:rsidRPr="00663B42">
        <w:rPr>
          <w:lang w:val="fr-FR" w:eastAsia="en-GB"/>
        </w:rPr>
        <w:t>Assurer l'objectivité, la crédibilité et la qualité du processus d'évaluation et du rapport d'évaluation</w:t>
      </w:r>
    </w:p>
    <w:p w14:paraId="6E774797" w14:textId="1212F428" w:rsidR="00F16017" w:rsidRPr="00663B42" w:rsidRDefault="00F16017" w:rsidP="00F16017">
      <w:pPr>
        <w:pStyle w:val="Heading2"/>
        <w:rPr>
          <w:lang w:val="fr-FR"/>
        </w:rPr>
      </w:pPr>
      <w:r w:rsidRPr="00663B42">
        <w:rPr>
          <w:lang w:val="fr-FR"/>
        </w:rPr>
        <w:t>3</w:t>
      </w:r>
      <w:r w:rsidR="002E2D79" w:rsidRPr="00663B42">
        <w:rPr>
          <w:lang w:val="fr-FR"/>
        </w:rPr>
        <w:t>. Portée des travaux</w:t>
      </w:r>
      <w:r w:rsidRPr="00663B42">
        <w:rPr>
          <w:lang w:val="fr-FR"/>
        </w:rPr>
        <w:t xml:space="preserve">  </w:t>
      </w:r>
    </w:p>
    <w:p w14:paraId="79F59899" w14:textId="77777777" w:rsidR="002E2D79" w:rsidRPr="00663B42" w:rsidRDefault="002E2D79" w:rsidP="002E2D79">
      <w:pPr>
        <w:rPr>
          <w:lang w:val="fr-FR"/>
        </w:rPr>
      </w:pPr>
      <w:r w:rsidRPr="00663B42">
        <w:rPr>
          <w:lang w:val="fr-FR"/>
        </w:rPr>
        <w:t>Les tâches spécifiques visant à atteindre les objectifs de la présente évaluation s'articuleront autour de la (des) fonction(s) clé(s) suivante(s) : (Les références aux sections pertinentes de la MAPS sont indiquées entre parenthèses)</w:t>
      </w:r>
    </w:p>
    <w:p w14:paraId="5DEC1D17" w14:textId="77777777" w:rsidR="002E2D79" w:rsidRPr="00663B42" w:rsidRDefault="002E2D79" w:rsidP="002E2D79">
      <w:pPr>
        <w:rPr>
          <w:lang w:val="fr-FR"/>
        </w:rPr>
      </w:pPr>
      <w:r w:rsidRPr="00663B42">
        <w:rPr>
          <w:lang w:val="fr-FR"/>
        </w:rPr>
        <w:t>Réalisation de l'évaluation de la MAPS</w:t>
      </w:r>
    </w:p>
    <w:p w14:paraId="4624F0C5" w14:textId="1FF7848E" w:rsidR="002E2D79" w:rsidRPr="00663B42" w:rsidRDefault="002E2D79" w:rsidP="002E2D79">
      <w:pPr>
        <w:rPr>
          <w:lang w:val="fr-FR"/>
        </w:rPr>
      </w:pPr>
      <w:r w:rsidRPr="00663B42">
        <w:rPr>
          <w:lang w:val="fr-FR"/>
        </w:rPr>
        <w:t xml:space="preserve">L'équipe de consultants mènera l'évaluation en étroite collaboration avec le gouvernement. L'évaluation portera sur les éléments suivants:         </w:t>
      </w:r>
    </w:p>
    <w:p w14:paraId="1235813F" w14:textId="05272157" w:rsidR="002E2D79" w:rsidRPr="00663B42" w:rsidRDefault="002E2D79" w:rsidP="002E2D79">
      <w:pPr>
        <w:pStyle w:val="ListParagraph"/>
        <w:numPr>
          <w:ilvl w:val="0"/>
          <w:numId w:val="9"/>
        </w:numPr>
        <w:rPr>
          <w:lang w:val="fr-FR"/>
        </w:rPr>
      </w:pPr>
      <w:r w:rsidRPr="00663B42">
        <w:rPr>
          <w:lang w:val="fr-FR"/>
        </w:rPr>
        <w:t>Effectuer l'analyse du contexte national, y compris l'inventaire des parties prenantes (Sections I, 8-9 et Section II)</w:t>
      </w:r>
    </w:p>
    <w:p w14:paraId="29AC12E6" w14:textId="6E6512CF" w:rsidR="002E2D79" w:rsidRPr="00663B42" w:rsidRDefault="002E2D79" w:rsidP="002E2D79">
      <w:pPr>
        <w:pStyle w:val="ListParagraph"/>
        <w:numPr>
          <w:ilvl w:val="0"/>
          <w:numId w:val="9"/>
        </w:numPr>
        <w:rPr>
          <w:lang w:val="fr-FR"/>
        </w:rPr>
      </w:pPr>
      <w:r w:rsidRPr="00663B42">
        <w:rPr>
          <w:lang w:val="fr-FR"/>
        </w:rPr>
        <w:t xml:space="preserve">Procéder à l'évaluation des systèmes de passation des marchés publics (section I, 13-37 et section III) </w:t>
      </w:r>
    </w:p>
    <w:p w14:paraId="495DC032" w14:textId="1810ECB0" w:rsidR="002E2D79" w:rsidRPr="00663B42" w:rsidRDefault="002E2D79" w:rsidP="002E2D79">
      <w:pPr>
        <w:pStyle w:val="ListParagraph"/>
        <w:numPr>
          <w:ilvl w:val="0"/>
          <w:numId w:val="3"/>
        </w:numPr>
        <w:rPr>
          <w:lang w:val="fr-FR"/>
        </w:rPr>
      </w:pPr>
      <w:r w:rsidRPr="00663B42">
        <w:rPr>
          <w:lang w:val="fr-FR"/>
        </w:rPr>
        <w:t>Élaborer et mettre à jour régulièrement le calendrier d'évaluation</w:t>
      </w:r>
    </w:p>
    <w:p w14:paraId="2CA3124F" w14:textId="40BC381B" w:rsidR="002E2D79" w:rsidRPr="00663B42" w:rsidRDefault="002E2D79" w:rsidP="002E2D79">
      <w:pPr>
        <w:pStyle w:val="ListParagraph"/>
        <w:numPr>
          <w:ilvl w:val="0"/>
          <w:numId w:val="3"/>
        </w:numPr>
        <w:rPr>
          <w:lang w:val="fr-FR"/>
        </w:rPr>
      </w:pPr>
      <w:r w:rsidRPr="00663B42">
        <w:rPr>
          <w:lang w:val="fr-FR"/>
        </w:rPr>
        <w:t>Collecter des données (qualitatives et quantitatives)</w:t>
      </w:r>
    </w:p>
    <w:p w14:paraId="63BA9996" w14:textId="0FC1394E" w:rsidR="002E2D79" w:rsidRPr="00663B42" w:rsidRDefault="002E2D79" w:rsidP="002E2D79">
      <w:pPr>
        <w:pStyle w:val="ListParagraph"/>
        <w:numPr>
          <w:ilvl w:val="0"/>
          <w:numId w:val="3"/>
        </w:numPr>
        <w:rPr>
          <w:lang w:val="fr-FR"/>
        </w:rPr>
      </w:pPr>
      <w:r w:rsidRPr="00663B42">
        <w:rPr>
          <w:lang w:val="fr-FR"/>
        </w:rPr>
        <w:t>Appliquer les indicateurs de la MAPS selon l'approche en trois étapes suivante :</w:t>
      </w:r>
    </w:p>
    <w:tbl>
      <w:tblPr>
        <w:tblStyle w:val="ListTable3-Accent31"/>
        <w:tblpPr w:leftFromText="180" w:rightFromText="180" w:vertAnchor="text" w:horzAnchor="page" w:tblpX="2083" w:tblpY="87"/>
        <w:tblW w:w="9180" w:type="dxa"/>
        <w:tblLook w:val="04A0" w:firstRow="1" w:lastRow="0" w:firstColumn="1" w:lastColumn="0" w:noHBand="0" w:noVBand="1"/>
      </w:tblPr>
      <w:tblGrid>
        <w:gridCol w:w="959"/>
        <w:gridCol w:w="7087"/>
        <w:gridCol w:w="1134"/>
      </w:tblGrid>
      <w:tr w:rsidR="00CD568C" w:rsidRPr="00663B42" w14:paraId="26B3BA9C" w14:textId="77777777" w:rsidTr="00746E4C">
        <w:trPr>
          <w:cnfStyle w:val="100000000000" w:firstRow="1" w:lastRow="0" w:firstColumn="0" w:lastColumn="0" w:oddVBand="0" w:evenVBand="0" w:oddHBand="0" w:evenHBand="0" w:firstRowFirstColumn="0" w:firstRowLastColumn="0" w:lastRowFirstColumn="0" w:lastRowLastColumn="0"/>
          <w:trHeight w:val="416"/>
        </w:trPr>
        <w:tc>
          <w:tcPr>
            <w:cnfStyle w:val="001000000100" w:firstRow="0" w:lastRow="0" w:firstColumn="1" w:lastColumn="0" w:oddVBand="0" w:evenVBand="0" w:oddHBand="0" w:evenHBand="0" w:firstRowFirstColumn="1" w:firstRowLastColumn="0" w:lastRowFirstColumn="0" w:lastRowLastColumn="0"/>
            <w:tcW w:w="9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C9A7A1" w14:textId="63CF1456" w:rsidR="00CD568C" w:rsidRPr="00663B42" w:rsidRDefault="002E2D79" w:rsidP="00CD568C">
            <w:pPr>
              <w:jc w:val="left"/>
              <w:rPr>
                <w:rFonts w:ascii="Open Sans" w:eastAsia="Times New Roman" w:hAnsi="Open Sans" w:cs="Open Sans"/>
                <w:color w:val="FFFFFF" w:themeColor="background1"/>
                <w:lang w:val="fr-FR" w:eastAsia="en-GB"/>
              </w:rPr>
            </w:pPr>
            <w:r w:rsidRPr="00663B42">
              <w:rPr>
                <w:rFonts w:cstheme="minorHAnsi"/>
                <w:color w:val="FFFFFF" w:themeColor="background1"/>
                <w:lang w:val="fr-FR"/>
              </w:rPr>
              <w:t>É</w:t>
            </w:r>
            <w:r w:rsidRPr="00663B42">
              <w:rPr>
                <w:color w:val="FFFFFF" w:themeColor="background1"/>
                <w:lang w:val="fr-FR"/>
              </w:rPr>
              <w:t>tapes</w:t>
            </w:r>
          </w:p>
        </w:tc>
        <w:tc>
          <w:tcPr>
            <w:tcW w:w="7087" w:type="dxa"/>
            <w:tcBorders>
              <w:top w:val="single" w:sz="4" w:space="0" w:color="FFFFFF" w:themeColor="background1"/>
              <w:left w:val="single" w:sz="4" w:space="0" w:color="FFFFFF" w:themeColor="background1"/>
              <w:bottom w:val="single" w:sz="4" w:space="0" w:color="099DD7" w:themeColor="accent3"/>
              <w:right w:val="single" w:sz="4" w:space="0" w:color="FFFFFF" w:themeColor="background1"/>
            </w:tcBorders>
          </w:tcPr>
          <w:p w14:paraId="3830A0AF" w14:textId="108C2C3D" w:rsidR="00CD568C" w:rsidRPr="00663B42" w:rsidRDefault="002E2D79" w:rsidP="002E2D79">
            <w:pPr>
              <w:jc w:val="left"/>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fr-FR" w:eastAsia="en-GB"/>
              </w:rPr>
            </w:pPr>
            <w:r w:rsidRPr="00663B42">
              <w:rPr>
                <w:rFonts w:cstheme="minorHAnsi"/>
                <w:color w:val="FFFFFF" w:themeColor="background1"/>
                <w:lang w:val="fr-FR"/>
              </w:rPr>
              <w:t>Évaluation</w:t>
            </w:r>
          </w:p>
        </w:tc>
        <w:tc>
          <w:tcPr>
            <w:tcW w:w="1134" w:type="dxa"/>
            <w:tcBorders>
              <w:top w:val="single" w:sz="4" w:space="0" w:color="099DD7" w:themeColor="accent3"/>
              <w:left w:val="single" w:sz="4" w:space="0" w:color="FFFFFF" w:themeColor="background1"/>
              <w:bottom w:val="single" w:sz="4" w:space="0" w:color="FFFFFF" w:themeColor="background1"/>
            </w:tcBorders>
          </w:tcPr>
          <w:p w14:paraId="3C912135" w14:textId="0193E2D8" w:rsidR="00CD568C" w:rsidRPr="00663B42" w:rsidRDefault="00CD568C" w:rsidP="002E2D79">
            <w:pPr>
              <w:jc w:val="left"/>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fr-FR" w:eastAsia="en-GB"/>
              </w:rPr>
            </w:pPr>
            <w:r w:rsidRPr="00663B42">
              <w:rPr>
                <w:color w:val="FFFFFF" w:themeColor="background1"/>
                <w:lang w:val="fr-FR"/>
              </w:rPr>
              <w:t>R</w:t>
            </w:r>
            <w:r w:rsidR="002E2D79" w:rsidRPr="00663B42">
              <w:rPr>
                <w:color w:val="FFFFFF" w:themeColor="background1"/>
                <w:lang w:val="fr-FR"/>
              </w:rPr>
              <w:t>é</w:t>
            </w:r>
            <w:r w:rsidRPr="00663B42">
              <w:rPr>
                <w:color w:val="FFFFFF" w:themeColor="background1"/>
                <w:lang w:val="fr-FR"/>
              </w:rPr>
              <w:t>f.</w:t>
            </w:r>
          </w:p>
        </w:tc>
      </w:tr>
      <w:tr w:rsidR="00CD568C" w:rsidRPr="00663B42" w14:paraId="0FD5F6CA" w14:textId="77777777" w:rsidTr="00746E4C">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FFFFFF" w:themeColor="background1"/>
              <w:right w:val="single" w:sz="4" w:space="0" w:color="099DD7" w:themeColor="accent3"/>
            </w:tcBorders>
          </w:tcPr>
          <w:p w14:paraId="580AA9AB" w14:textId="1D37AAF5" w:rsidR="00CD568C" w:rsidRPr="00663B42" w:rsidRDefault="002E2D79" w:rsidP="00CD568C">
            <w:pPr>
              <w:jc w:val="left"/>
              <w:rPr>
                <w:rFonts w:ascii="Open Sans" w:eastAsia="Times New Roman" w:hAnsi="Open Sans" w:cs="Open Sans"/>
                <w:color w:val="000000"/>
                <w:lang w:val="fr-FR" w:eastAsia="en-GB"/>
              </w:rPr>
            </w:pPr>
            <w:r w:rsidRPr="00663B42">
              <w:rPr>
                <w:rFonts w:ascii="Calibri" w:hAnsi="Calibri"/>
                <w:lang w:val="fr-FR"/>
              </w:rPr>
              <w:t xml:space="preserve">Étape </w:t>
            </w:r>
            <w:r w:rsidR="00CD568C" w:rsidRPr="00663B42">
              <w:rPr>
                <w:rFonts w:ascii="Calibri" w:hAnsi="Calibri"/>
                <w:lang w:val="fr-FR"/>
              </w:rPr>
              <w:t>1</w:t>
            </w:r>
          </w:p>
        </w:tc>
        <w:tc>
          <w:tcPr>
            <w:tcW w:w="7087" w:type="dxa"/>
            <w:tcBorders>
              <w:left w:val="single" w:sz="4" w:space="0" w:color="099DD7" w:themeColor="accent3"/>
              <w:right w:val="single" w:sz="4" w:space="0" w:color="099DD7" w:themeColor="accent3"/>
            </w:tcBorders>
          </w:tcPr>
          <w:p w14:paraId="385A0412" w14:textId="6DC2DF90" w:rsidR="002E2D79" w:rsidRPr="00663B42" w:rsidRDefault="002E2D79" w:rsidP="002E2D79">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r w:rsidRPr="00663B42">
              <w:rPr>
                <w:rFonts w:ascii="Calibri" w:hAnsi="Calibri"/>
                <w:lang w:val="fr-FR"/>
              </w:rPr>
              <w:t xml:space="preserve">Révision du système d'application des critères d'évaluation exprimés en termes qualitatifs. </w:t>
            </w:r>
          </w:p>
          <w:p w14:paraId="46227F92" w14:textId="705AFDAE" w:rsidR="00CD568C" w:rsidRPr="00663B42" w:rsidRDefault="002E2D79" w:rsidP="002E2D79">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r w:rsidRPr="00663B42">
              <w:rPr>
                <w:rFonts w:ascii="Calibri" w:hAnsi="Calibri"/>
                <w:lang w:val="fr-FR"/>
              </w:rPr>
              <w:t>Préparation d'un rapport narratif fournissant des informations détaillées sur cette comparaison (situation réelle vs. critères d'évaluation) et sur les changements en cours.</w:t>
            </w:r>
            <w:r w:rsidR="00CD568C" w:rsidRPr="00663B42">
              <w:rPr>
                <w:rStyle w:val="FootnoteReference"/>
                <w:rFonts w:ascii="Calibri" w:hAnsi="Calibri"/>
                <w:lang w:val="fr-FR"/>
              </w:rPr>
              <w:footnoteReference w:id="2"/>
            </w:r>
          </w:p>
        </w:tc>
        <w:tc>
          <w:tcPr>
            <w:tcW w:w="1134" w:type="dxa"/>
            <w:tcBorders>
              <w:top w:val="single" w:sz="4" w:space="0" w:color="FFFFFF" w:themeColor="background1"/>
              <w:left w:val="single" w:sz="4" w:space="0" w:color="099DD7" w:themeColor="accent3"/>
            </w:tcBorders>
          </w:tcPr>
          <w:p w14:paraId="3484E3E0" w14:textId="77777777" w:rsidR="00CD568C" w:rsidRPr="00663B42"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r w:rsidRPr="00663B42">
              <w:rPr>
                <w:rFonts w:ascii="Calibri" w:hAnsi="Calibri"/>
                <w:lang w:val="fr-FR"/>
              </w:rPr>
              <w:t xml:space="preserve">Section I </w:t>
            </w:r>
          </w:p>
          <w:p w14:paraId="6926C810" w14:textId="77777777" w:rsidR="00CD568C" w:rsidRPr="00663B42"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r w:rsidRPr="00663B42">
              <w:rPr>
                <w:rFonts w:ascii="Calibri" w:hAnsi="Calibri"/>
                <w:lang w:val="fr-FR"/>
              </w:rPr>
              <w:t>15-16</w:t>
            </w:r>
          </w:p>
        </w:tc>
      </w:tr>
      <w:tr w:rsidR="00CD568C" w:rsidRPr="00663B42" w14:paraId="17B4D9B7" w14:textId="77777777" w:rsidTr="002E2D79">
        <w:trPr>
          <w:trHeight w:val="416"/>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099DD7" w:themeColor="accent3"/>
              <w:bottom w:val="single" w:sz="4" w:space="0" w:color="099DD7" w:themeColor="accent3"/>
              <w:right w:val="single" w:sz="4" w:space="0" w:color="099DD7" w:themeColor="accent3"/>
            </w:tcBorders>
          </w:tcPr>
          <w:p w14:paraId="1E696938" w14:textId="73EAF03A" w:rsidR="00CD568C" w:rsidRPr="00663B42" w:rsidRDefault="002E2D79" w:rsidP="00CD568C">
            <w:pPr>
              <w:jc w:val="left"/>
              <w:rPr>
                <w:rFonts w:ascii="Open Sans" w:eastAsia="Times New Roman" w:hAnsi="Open Sans" w:cs="Open Sans"/>
                <w:color w:val="000000"/>
                <w:lang w:val="fr-FR" w:eastAsia="en-GB"/>
              </w:rPr>
            </w:pPr>
            <w:r w:rsidRPr="00663B42">
              <w:rPr>
                <w:rFonts w:ascii="Calibri" w:hAnsi="Calibri"/>
                <w:lang w:val="fr-FR"/>
              </w:rPr>
              <w:t xml:space="preserve">Étape </w:t>
            </w:r>
            <w:r w:rsidR="00CD568C" w:rsidRPr="00663B42">
              <w:rPr>
                <w:rFonts w:ascii="Calibri" w:hAnsi="Calibri"/>
                <w:lang w:val="fr-FR"/>
              </w:rPr>
              <w:t xml:space="preserve"> 2</w:t>
            </w:r>
          </w:p>
        </w:tc>
        <w:tc>
          <w:tcPr>
            <w:tcW w:w="7087"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4BD5F5D" w14:textId="3D51C9A4" w:rsidR="002E2D79" w:rsidRPr="00663B42" w:rsidRDefault="002E2D79" w:rsidP="002E2D79">
            <w:pPr>
              <w:jc w:val="left"/>
              <w:cnfStyle w:val="000000000000" w:firstRow="0" w:lastRow="0" w:firstColumn="0" w:lastColumn="0" w:oddVBand="0" w:evenVBand="0" w:oddHBand="0" w:evenHBand="0" w:firstRowFirstColumn="0" w:firstRowLastColumn="0" w:lastRowFirstColumn="0" w:lastRowLastColumn="0"/>
              <w:rPr>
                <w:rFonts w:ascii="Calibri" w:hAnsi="Calibri"/>
                <w:lang w:val="fr-FR"/>
              </w:rPr>
            </w:pPr>
            <w:r w:rsidRPr="00663B42">
              <w:rPr>
                <w:rFonts w:ascii="Calibri" w:hAnsi="Calibri"/>
                <w:lang w:val="fr-FR"/>
              </w:rPr>
              <w:t xml:space="preserve">Révision du système en appliquant un ensemble défini d'indicateurs quantitatifs (en appliquant au moins l'ensemble minimum d'indicateurs quantitatifs défini). </w:t>
            </w:r>
          </w:p>
          <w:p w14:paraId="1F3182D3" w14:textId="10003147" w:rsidR="00CD568C" w:rsidRPr="00663B42" w:rsidRDefault="002E2D79" w:rsidP="002E2D79">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r w:rsidRPr="00663B42">
              <w:rPr>
                <w:rFonts w:ascii="Calibri" w:hAnsi="Calibri"/>
                <w:lang w:val="fr-FR"/>
              </w:rPr>
              <w:lastRenderedPageBreak/>
              <w:t>Préparation d'un rapport narratif détaillant les résultats de cette analyse quantitative</w:t>
            </w:r>
          </w:p>
        </w:tc>
        <w:tc>
          <w:tcPr>
            <w:tcW w:w="1134" w:type="dxa"/>
            <w:tcBorders>
              <w:top w:val="single" w:sz="4" w:space="0" w:color="099DD7" w:themeColor="accent3"/>
              <w:left w:val="single" w:sz="4" w:space="0" w:color="099DD7" w:themeColor="accent3"/>
              <w:bottom w:val="single" w:sz="4" w:space="0" w:color="099DD7" w:themeColor="accent3"/>
            </w:tcBorders>
          </w:tcPr>
          <w:p w14:paraId="49748F93" w14:textId="77777777" w:rsidR="00CD568C" w:rsidRPr="00663B42" w:rsidRDefault="00CD568C" w:rsidP="00CD568C">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r w:rsidRPr="00663B42">
              <w:rPr>
                <w:rFonts w:ascii="Calibri" w:hAnsi="Calibri"/>
                <w:lang w:val="fr-FR"/>
              </w:rPr>
              <w:lastRenderedPageBreak/>
              <w:t>Section I 17-19</w:t>
            </w:r>
          </w:p>
        </w:tc>
      </w:tr>
      <w:tr w:rsidR="00CD568C" w:rsidRPr="00663B42" w14:paraId="1C555778" w14:textId="77777777" w:rsidTr="00746E4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099DD7" w:themeColor="accent3"/>
            </w:tcBorders>
          </w:tcPr>
          <w:p w14:paraId="1010F6C2" w14:textId="6E14EF8D" w:rsidR="00CD568C" w:rsidRPr="00663B42" w:rsidRDefault="002E2D79" w:rsidP="00CD568C">
            <w:pPr>
              <w:jc w:val="left"/>
              <w:rPr>
                <w:rFonts w:ascii="Open Sans" w:eastAsia="Times New Roman" w:hAnsi="Open Sans" w:cs="Open Sans"/>
                <w:color w:val="000000"/>
                <w:lang w:val="fr-FR" w:eastAsia="en-GB"/>
              </w:rPr>
            </w:pPr>
            <w:r w:rsidRPr="00663B42">
              <w:rPr>
                <w:rFonts w:ascii="Calibri" w:hAnsi="Calibri"/>
                <w:lang w:val="fr-FR"/>
              </w:rPr>
              <w:t xml:space="preserve">Étape </w:t>
            </w:r>
            <w:r w:rsidR="00CD568C" w:rsidRPr="00663B42">
              <w:rPr>
                <w:rFonts w:ascii="Calibri" w:hAnsi="Calibri"/>
                <w:lang w:val="fr-FR"/>
              </w:rPr>
              <w:t>3</w:t>
            </w:r>
          </w:p>
        </w:tc>
        <w:tc>
          <w:tcPr>
            <w:tcW w:w="7087" w:type="dxa"/>
            <w:tcBorders>
              <w:left w:val="single" w:sz="4" w:space="0" w:color="099DD7" w:themeColor="accent3"/>
              <w:right w:val="single" w:sz="4" w:space="0" w:color="099DD7" w:themeColor="accent3"/>
            </w:tcBorders>
          </w:tcPr>
          <w:p w14:paraId="2A15F12D" w14:textId="65C43BF1" w:rsidR="003D12B6" w:rsidRPr="00663B42" w:rsidRDefault="003D12B6" w:rsidP="003D12B6">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r w:rsidRPr="00663B42">
              <w:rPr>
                <w:rFonts w:ascii="Calibri" w:hAnsi="Calibri"/>
                <w:lang w:val="fr-FR"/>
              </w:rPr>
              <w:t xml:space="preserve">Analyse et détermination des lacunes substantielles ou matérielles (analyse des lacunes). </w:t>
            </w:r>
          </w:p>
          <w:p w14:paraId="26D22603" w14:textId="76737B42" w:rsidR="003D12B6" w:rsidRPr="00663B42" w:rsidRDefault="003D12B6" w:rsidP="003D12B6">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r w:rsidRPr="00663B42">
              <w:rPr>
                <w:rFonts w:ascii="Calibri" w:hAnsi="Calibri"/>
                <w:lang w:val="fr-FR"/>
              </w:rPr>
              <w:t xml:space="preserve">Les indicateurs subsidiaires qui présentent une </w:t>
            </w:r>
            <w:r w:rsidRPr="00663B42">
              <w:rPr>
                <w:rFonts w:ascii="Calibri" w:hAnsi="Calibri" w:cs="Calibri"/>
                <w:lang w:val="fr-FR"/>
              </w:rPr>
              <w:t>«</w:t>
            </w:r>
            <w:r w:rsidRPr="00663B42">
              <w:rPr>
                <w:rFonts w:ascii="Calibri" w:hAnsi="Calibri"/>
                <w:lang w:val="fr-FR"/>
              </w:rPr>
              <w:t xml:space="preserve"> lacune substantielle </w:t>
            </w:r>
            <w:r w:rsidRPr="00663B42">
              <w:rPr>
                <w:rFonts w:ascii="Calibri" w:hAnsi="Calibri" w:cs="Calibri"/>
                <w:lang w:val="fr-FR"/>
              </w:rPr>
              <w:t>»</w:t>
            </w:r>
            <w:r w:rsidRPr="00663B42">
              <w:rPr>
                <w:rFonts w:ascii="Calibri" w:hAnsi="Calibri"/>
                <w:lang w:val="fr-FR"/>
              </w:rPr>
              <w:t xml:space="preserve"> doivent être clairement indiqués pour illustrer la nécessité d'élaborer des mesures adéquates pour améliorer la qualité et la performance du système. </w:t>
            </w:r>
          </w:p>
          <w:p w14:paraId="7DEB26BD" w14:textId="7B325A94" w:rsidR="00CD568C" w:rsidRPr="00663B42" w:rsidRDefault="003D12B6" w:rsidP="003D12B6">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r w:rsidRPr="00663B42">
              <w:rPr>
                <w:rFonts w:ascii="Calibri" w:hAnsi="Calibri"/>
                <w:lang w:val="fr-FR"/>
              </w:rPr>
              <w:t xml:space="preserve">En cas de raisons identifiées qui sont susceptibles d'empêcher des actions adéquates pour améliorer le système, des </w:t>
            </w:r>
            <w:r w:rsidRPr="00663B42">
              <w:rPr>
                <w:rFonts w:ascii="Calibri" w:hAnsi="Calibri" w:cs="Calibri"/>
                <w:lang w:val="fr-FR"/>
              </w:rPr>
              <w:t xml:space="preserve">« </w:t>
            </w:r>
            <w:r w:rsidRPr="00663B42">
              <w:rPr>
                <w:rFonts w:ascii="Calibri" w:hAnsi="Calibri"/>
                <w:lang w:val="fr-FR"/>
              </w:rPr>
              <w:t xml:space="preserve">signaux d'alerte </w:t>
            </w:r>
            <w:r w:rsidRPr="00663B42">
              <w:rPr>
                <w:rFonts w:ascii="Calibri" w:hAnsi="Calibri" w:cs="Calibri"/>
                <w:lang w:val="fr-FR"/>
              </w:rPr>
              <w:t>»</w:t>
            </w:r>
            <w:r w:rsidRPr="00663B42">
              <w:rPr>
                <w:rFonts w:ascii="Calibri" w:hAnsi="Calibri"/>
                <w:lang w:val="fr-FR"/>
              </w:rPr>
              <w:t xml:space="preserve"> doivent être attribués. Les signaux d'alerte doivent mettre en évidence tout élément qui entrave de manière significative la réalisation des principales considérations des marchés publics et qui ne peut être atténué directement ou indirectement par le système.</w:t>
            </w:r>
          </w:p>
          <w:p w14:paraId="16F7F154" w14:textId="77777777" w:rsidR="003D12B6" w:rsidRPr="00663B42" w:rsidRDefault="003D12B6" w:rsidP="00CD568C">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134" w:type="dxa"/>
            <w:tcBorders>
              <w:left w:val="single" w:sz="4" w:space="0" w:color="099DD7" w:themeColor="accent3"/>
            </w:tcBorders>
          </w:tcPr>
          <w:p w14:paraId="40F1EE72" w14:textId="5359F75A" w:rsidR="00CD568C" w:rsidRPr="00663B42" w:rsidRDefault="00CD568C" w:rsidP="00CD568C">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r w:rsidRPr="00663B42">
              <w:rPr>
                <w:rFonts w:ascii="Calibri" w:hAnsi="Calibri"/>
                <w:lang w:val="fr-FR"/>
              </w:rPr>
              <w:t xml:space="preserve">Section I 20-24 </w:t>
            </w:r>
          </w:p>
        </w:tc>
      </w:tr>
    </w:tbl>
    <w:p w14:paraId="6E8E27DF" w14:textId="678BA194" w:rsidR="00EA03DE" w:rsidRPr="00663B42" w:rsidRDefault="00EA03DE" w:rsidP="006D0011">
      <w:pPr>
        <w:shd w:val="clear" w:color="auto" w:fill="FFFFFF"/>
        <w:spacing w:after="0" w:line="240" w:lineRule="auto"/>
        <w:rPr>
          <w:rFonts w:ascii="Open Sans" w:eastAsia="Times New Roman" w:hAnsi="Open Sans" w:cs="Open Sans"/>
          <w:color w:val="000000"/>
          <w:sz w:val="21"/>
          <w:szCs w:val="21"/>
          <w:lang w:val="fr-FR" w:eastAsia="en-GB"/>
        </w:rPr>
      </w:pPr>
    </w:p>
    <w:p w14:paraId="5C72B6ED" w14:textId="6509FC8D" w:rsidR="003D12B6" w:rsidRPr="00663B42" w:rsidRDefault="003D12B6" w:rsidP="003D12B6">
      <w:pPr>
        <w:pStyle w:val="ListParagraph"/>
        <w:numPr>
          <w:ilvl w:val="0"/>
          <w:numId w:val="4"/>
        </w:numPr>
        <w:rPr>
          <w:lang w:val="fr-FR"/>
        </w:rPr>
      </w:pPr>
      <w:r w:rsidRPr="00663B42">
        <w:rPr>
          <w:lang w:val="fr-FR" w:eastAsia="en-US"/>
        </w:rPr>
        <w:t>L'évaluation comprend l'examen d'un échantillon d'opérations réelles de passation des marchés (dossiers). Nombre prévu de dossiers à examiner : [nombre]</w:t>
      </w:r>
    </w:p>
    <w:p w14:paraId="37E090EB" w14:textId="53430954" w:rsidR="003D12B6" w:rsidRPr="00663B42" w:rsidRDefault="003D12B6" w:rsidP="003D12B6">
      <w:pPr>
        <w:pStyle w:val="ListParagraph"/>
        <w:numPr>
          <w:ilvl w:val="0"/>
          <w:numId w:val="4"/>
        </w:numPr>
        <w:rPr>
          <w:lang w:val="fr-FR"/>
        </w:rPr>
      </w:pPr>
      <w:r w:rsidRPr="00663B42">
        <w:rPr>
          <w:highlight w:val="yellow"/>
          <w:lang w:val="fr-FR" w:eastAsia="en-US"/>
        </w:rPr>
        <w:t>[Ajouter au cas où une enquête devrait être menée :]</w:t>
      </w:r>
      <w:r w:rsidRPr="00663B42">
        <w:rPr>
          <w:lang w:val="fr-FR" w:eastAsia="en-US"/>
        </w:rPr>
        <w:t xml:space="preserve">  L'évaluation</w:t>
      </w:r>
      <w:r w:rsidRPr="00663B42">
        <w:rPr>
          <w:lang w:val="fr-FR"/>
        </w:rPr>
        <w:t xml:space="preserve"> comprend une enquête qui sera menée pour étayer l'évaluation des indicateurs subsidiaires suivants : [indicateurs subsidiaires].</w:t>
      </w:r>
    </w:p>
    <w:p w14:paraId="3D2453A6" w14:textId="4DC9C11E" w:rsidR="003D12B6" w:rsidRPr="00663B42" w:rsidRDefault="003D12B6" w:rsidP="003D12B6">
      <w:pPr>
        <w:pStyle w:val="ListParagraph"/>
        <w:numPr>
          <w:ilvl w:val="0"/>
          <w:numId w:val="11"/>
        </w:numPr>
        <w:rPr>
          <w:lang w:val="fr-FR"/>
        </w:rPr>
      </w:pPr>
      <w:r w:rsidRPr="00663B42">
        <w:rPr>
          <w:lang w:val="fr-FR"/>
        </w:rPr>
        <w:t>Faciliter la validation des conclusions et formuler des recommandations pour une stratégie de réforme prioritaire de la passation des marchés (Section I, 38).</w:t>
      </w:r>
    </w:p>
    <w:p w14:paraId="35A9DDB3" w14:textId="57985865" w:rsidR="003D12B6" w:rsidRPr="00663B42" w:rsidRDefault="003D12B6" w:rsidP="003D12B6">
      <w:pPr>
        <w:pStyle w:val="ListParagraph"/>
        <w:ind w:left="360"/>
        <w:rPr>
          <w:lang w:val="fr-FR"/>
        </w:rPr>
      </w:pPr>
      <w:r w:rsidRPr="00663B42">
        <w:rPr>
          <w:lang w:val="fr-FR"/>
        </w:rPr>
        <w:t>Préparer le rapport d'évaluation en</w:t>
      </w:r>
      <w:r w:rsidR="004C4A7F">
        <w:rPr>
          <w:lang w:val="fr-FR"/>
        </w:rPr>
        <w:t xml:space="preserve"> </w:t>
      </w:r>
      <w:r w:rsidRPr="00663B42">
        <w:rPr>
          <w:lang w:val="fr-FR"/>
        </w:rPr>
        <w:t xml:space="preserve">[langue(s)] (Section I, 40-41) </w:t>
      </w:r>
    </w:p>
    <w:p w14:paraId="2A20E6F5" w14:textId="4B4212B9" w:rsidR="00EA03DE" w:rsidRPr="00F86085" w:rsidRDefault="003D12B6" w:rsidP="00F86085">
      <w:pPr>
        <w:pStyle w:val="ListParagraph"/>
        <w:numPr>
          <w:ilvl w:val="0"/>
          <w:numId w:val="11"/>
        </w:numPr>
        <w:rPr>
          <w:lang w:val="fr-FR"/>
        </w:rPr>
      </w:pPr>
      <w:r w:rsidRPr="00663B42">
        <w:rPr>
          <w:lang w:val="fr-FR"/>
        </w:rPr>
        <w:t>Le rapport d'évaluation sera fourni sous la forme d'une version préliminaire et d'une version finale qui tiendra compte des suggestions et commentaires reçus au cours du processus d'assurance-qualité tel que défini dans la note de synthèse. Le rapport se composera d'un résumé et d'un rapport principal qui suivra les grandes lignes fournies à la section I, 41.</w:t>
      </w:r>
      <w:r w:rsidRPr="00663B42">
        <w:rPr>
          <w:vertAlign w:val="superscript"/>
          <w:lang w:val="fr-FR"/>
        </w:rPr>
        <w:t xml:space="preserve"> </w:t>
      </w:r>
      <w:r w:rsidRPr="00663B42">
        <w:rPr>
          <w:vertAlign w:val="superscript"/>
          <w:lang w:val="fr-FR"/>
        </w:rPr>
        <w:footnoteReference w:id="3"/>
      </w:r>
      <w:r w:rsidR="00F86085">
        <w:rPr>
          <w:vertAlign w:val="superscript"/>
          <w:lang w:val="fr-FR"/>
        </w:rPr>
        <w:t xml:space="preserve"> </w:t>
      </w:r>
      <w:r w:rsidR="00F86085">
        <w:rPr>
          <w:lang w:val="fr-FR"/>
        </w:rPr>
        <w:t xml:space="preserve">de la méthodologie, </w:t>
      </w:r>
      <w:r w:rsidR="00F86085" w:rsidRPr="00F86085">
        <w:rPr>
          <w:lang w:val="fr-FR"/>
        </w:rPr>
        <w:t>et les annexes correspondantes comprenant la matrice détaillée des indicateurs. Des modèles de rapport et de matrice d'indicateurs sont disponibles sur www.mapsinitiative.org.</w:t>
      </w:r>
    </w:p>
    <w:p w14:paraId="4699F1F9" w14:textId="00F37B4A" w:rsidR="00032934" w:rsidRPr="00F86085" w:rsidRDefault="00032934" w:rsidP="00032934">
      <w:pPr>
        <w:jc w:val="center"/>
        <w:rPr>
          <w:i/>
          <w:highlight w:val="yellow"/>
          <w:lang w:val="fr-FR"/>
        </w:rPr>
      </w:pPr>
      <w:r w:rsidRPr="00F86085">
        <w:rPr>
          <w:i/>
          <w:highlight w:val="yellow"/>
          <w:lang w:val="fr-FR"/>
        </w:rPr>
        <w:t xml:space="preserve"> [Ajouter, dans le cas où le test d'un module MAPS fait partie de la mission :]</w:t>
      </w:r>
    </w:p>
    <w:p w14:paraId="3E7F0F51" w14:textId="4BEA9218" w:rsidR="00032934" w:rsidRPr="00F86085" w:rsidRDefault="00032934" w:rsidP="00032934">
      <w:pPr>
        <w:jc w:val="center"/>
        <w:rPr>
          <w:i/>
          <w:lang w:val="fr-FR"/>
        </w:rPr>
      </w:pPr>
      <w:r w:rsidRPr="00F86085">
        <w:rPr>
          <w:i/>
          <w:lang w:val="fr-FR"/>
        </w:rPr>
        <w:t>Réalisation d'une évaluation test de la MAPS pour le module [titre].</w:t>
      </w:r>
    </w:p>
    <w:p w14:paraId="2B4FE347" w14:textId="01CA6969" w:rsidR="005A4A35" w:rsidRPr="00F86085" w:rsidRDefault="00032934" w:rsidP="005A4A35">
      <w:pPr>
        <w:rPr>
          <w:rFonts w:eastAsiaTheme="majorEastAsia" w:cstheme="majorBidi"/>
          <w:bCs/>
          <w:i/>
          <w:lang w:val="fr-FR"/>
        </w:rPr>
      </w:pPr>
      <w:r w:rsidRPr="00F86085">
        <w:rPr>
          <w:rFonts w:eastAsiaTheme="majorEastAsia" w:cstheme="majorBidi"/>
          <w:bCs/>
          <w:i/>
          <w:lang w:val="fr-FR"/>
        </w:rPr>
        <w:t>En plus du travail décrit ci-dessus, l'équipe de consultants effectuera une évaluation test du module de la MAPS suivant : [titre du module]. Cette application test aidera au contrôle et à la finalisation des modules complémentaires de la MAPS qui ont été autorisés pour les tests. L'évaluation test sera effectuée comme décrit au paragraphe 3a)-d) ci-dessus.</w:t>
      </w:r>
    </w:p>
    <w:p w14:paraId="48D95908" w14:textId="43188E0F" w:rsidR="005A4A35" w:rsidRPr="00663B42" w:rsidRDefault="000C0BD8" w:rsidP="005A4A35">
      <w:pPr>
        <w:rPr>
          <w:rFonts w:eastAsiaTheme="majorEastAsia" w:cstheme="majorBidi"/>
          <w:bCs/>
          <w:lang w:val="fr-FR"/>
        </w:rPr>
      </w:pPr>
      <w:r w:rsidRPr="00F86085">
        <w:rPr>
          <w:rFonts w:eastAsiaTheme="majorEastAsia" w:cstheme="majorBidi"/>
          <w:bCs/>
          <w:i/>
          <w:lang w:val="fr-FR"/>
        </w:rPr>
        <w:t>Un rapport supplémentaire sera préparé sur la base d'un questionnaire</w:t>
      </w:r>
      <w:r w:rsidRPr="00F86085">
        <w:rPr>
          <w:rStyle w:val="FootnoteReference"/>
          <w:rFonts w:ascii="Calibri" w:eastAsiaTheme="majorEastAsia" w:hAnsi="Calibri" w:cstheme="majorBidi"/>
          <w:bCs/>
          <w:i/>
          <w:lang w:val="fr-FR"/>
        </w:rPr>
        <w:footnoteReference w:id="4"/>
      </w:r>
      <w:r w:rsidRPr="00F86085">
        <w:rPr>
          <w:rFonts w:eastAsiaTheme="majorEastAsia" w:cstheme="majorBidi"/>
          <w:bCs/>
          <w:i/>
          <w:lang w:val="fr-FR"/>
        </w:rPr>
        <w:t xml:space="preserve"> afin d'identifier les forces du module, de détecter les failles de la méthodologie et de partager les leçons apprises pendant le test d'évaluation. </w:t>
      </w:r>
      <w:r w:rsidR="00F86085">
        <w:rPr>
          <w:rFonts w:eastAsiaTheme="majorEastAsia" w:cstheme="majorBidi"/>
          <w:bCs/>
          <w:i/>
          <w:lang w:val="fr-FR"/>
        </w:rPr>
        <w:t>Ce rapport</w:t>
      </w:r>
      <w:r w:rsidRPr="00F86085">
        <w:rPr>
          <w:rFonts w:eastAsiaTheme="majorEastAsia" w:cstheme="majorBidi"/>
          <w:bCs/>
          <w:i/>
          <w:lang w:val="fr-FR"/>
        </w:rPr>
        <w:t xml:space="preserve"> doit être soumis en anglais pour examen ultérieur dans le cadre du processus de révision en cours</w:t>
      </w:r>
      <w:r w:rsidRPr="00663B42">
        <w:rPr>
          <w:rFonts w:eastAsiaTheme="majorEastAsia" w:cstheme="majorBidi"/>
          <w:bCs/>
          <w:lang w:val="fr-FR"/>
        </w:rPr>
        <w:t>.</w:t>
      </w:r>
    </w:p>
    <w:p w14:paraId="62D61154" w14:textId="2481F2E3" w:rsidR="005A4A35" w:rsidRPr="00663B42" w:rsidRDefault="00F153FB" w:rsidP="005A4A35">
      <w:pPr>
        <w:pStyle w:val="Heading2"/>
        <w:rPr>
          <w:lang w:val="fr-FR" w:eastAsia="en-US"/>
        </w:rPr>
      </w:pPr>
      <w:r w:rsidRPr="00663B42">
        <w:rPr>
          <w:lang w:val="fr-FR" w:eastAsia="en-US"/>
        </w:rPr>
        <w:lastRenderedPageBreak/>
        <w:t>4. Composition de l'équipe et arrangements de gestion</w:t>
      </w:r>
    </w:p>
    <w:p w14:paraId="19658ABA" w14:textId="77777777" w:rsidR="00F153FB" w:rsidRPr="00663B42" w:rsidRDefault="00F153FB" w:rsidP="00F153FB">
      <w:pPr>
        <w:rPr>
          <w:lang w:val="fr-FR" w:eastAsia="en-US"/>
        </w:rPr>
      </w:pPr>
      <w:r w:rsidRPr="00663B42">
        <w:rPr>
          <w:lang w:val="fr-FR" w:eastAsia="en-US"/>
        </w:rPr>
        <w:t>L'évaluation sera effectuée par l'équipe d'évaluation qui sera composée des membres suivants :</w:t>
      </w:r>
    </w:p>
    <w:p w14:paraId="6787C18F" w14:textId="77777777" w:rsidR="00F153FB" w:rsidRPr="00663B42" w:rsidRDefault="00F153FB" w:rsidP="00F153FB">
      <w:pPr>
        <w:rPr>
          <w:lang w:val="fr-FR" w:eastAsia="en-US"/>
        </w:rPr>
      </w:pPr>
      <w:r w:rsidRPr="00663B42">
        <w:rPr>
          <w:lang w:val="fr-FR" w:eastAsia="en-US"/>
        </w:rPr>
        <w:t>A. Le gouvernement affectera le ou les experts suivants :</w:t>
      </w:r>
    </w:p>
    <w:p w14:paraId="0FEEA30A" w14:textId="2C5F7A27" w:rsidR="00F153FB" w:rsidRPr="00663B42" w:rsidRDefault="00F153FB" w:rsidP="00F153FB">
      <w:pPr>
        <w:rPr>
          <w:lang w:val="fr-FR" w:eastAsia="en-US"/>
        </w:rPr>
      </w:pPr>
      <w:r w:rsidRPr="00663B42">
        <w:rPr>
          <w:lang w:val="fr-FR" w:eastAsia="en-US"/>
        </w:rPr>
        <w:t>- [Institution(s) gouvernementale(s), Fonction(s), Nom(s) : Rôle(s)]</w:t>
      </w:r>
    </w:p>
    <w:p w14:paraId="52868A10" w14:textId="1E1C48FD" w:rsidR="005A4A35" w:rsidRPr="00663B42" w:rsidRDefault="00F153FB" w:rsidP="00F153FB">
      <w:pPr>
        <w:rPr>
          <w:lang w:val="fr-FR" w:eastAsia="en-US"/>
        </w:rPr>
      </w:pPr>
      <w:r w:rsidRPr="00663B42">
        <w:rPr>
          <w:lang w:val="fr-FR" w:eastAsia="en-US"/>
        </w:rPr>
        <w:t>Le gouvernement fournira en temps opportun les informations et les données nécessaires et facilitera les réunions avec les parties prenantes publiques et privées (par exemple les organisations du secteur privé, la société civile). Le gouvernement facilitera également l'examen de l'échantillon de cas de marchés en rendant les dossiers disponibles pour examen, de préférence dans un endroit central.</w:t>
      </w:r>
    </w:p>
    <w:p w14:paraId="0E6B73F0" w14:textId="392F6206" w:rsidR="005A4A35" w:rsidRPr="00663B42" w:rsidRDefault="00F153FB" w:rsidP="005A4A35">
      <w:pPr>
        <w:rPr>
          <w:lang w:val="fr-FR" w:eastAsia="en-US"/>
        </w:rPr>
      </w:pPr>
      <w:r w:rsidRPr="00663B42">
        <w:rPr>
          <w:lang w:val="fr-FR" w:eastAsia="en-US"/>
        </w:rPr>
        <w:t>B. Il y aura [nombre] consultants recrutés pour la mission, qui travailleront en étroite collaboration avec les experts désignés par le gouvernement :</w:t>
      </w:r>
    </w:p>
    <w:p w14:paraId="2F85B291" w14:textId="49E6397F" w:rsidR="00F153FB" w:rsidRPr="00663B42" w:rsidRDefault="00F153FB" w:rsidP="00F153FB">
      <w:pPr>
        <w:rPr>
          <w:lang w:val="fr-FR" w:eastAsia="en-US"/>
        </w:rPr>
      </w:pPr>
      <w:r w:rsidRPr="00663B42">
        <w:rPr>
          <w:lang w:val="fr-FR" w:eastAsia="en-US"/>
        </w:rPr>
        <w:t>- Consultant principal [international/national] spécialiste des marchés publics : Le consultant principal est chargé d'effectuer l'évaluation conformément à la méthodologie MAPS, de gérer le projet, d'assurer la qualité de l'analyse des données et des recommandations, de rédiger le rapport et de le présenter, au besoin. Le consultant principal assurera la liaison avec le gouvernement pour assurer une mise en œuvre rapide.</w:t>
      </w:r>
    </w:p>
    <w:p w14:paraId="37203945" w14:textId="3D5390C9" w:rsidR="00F153FB" w:rsidRPr="00663B42" w:rsidRDefault="00F153FB" w:rsidP="00F153FB">
      <w:pPr>
        <w:rPr>
          <w:lang w:val="fr-FR" w:eastAsia="en-US"/>
        </w:rPr>
      </w:pPr>
      <w:r w:rsidRPr="00663B42">
        <w:rPr>
          <w:lang w:val="fr-FR" w:eastAsia="en-US"/>
        </w:rPr>
        <w:t>-  [Nombre] consultants internationaux et [nombre] nationaux ayant des connaissances spécialisées dans les domaines suivants : [Domaines].</w:t>
      </w:r>
    </w:p>
    <w:p w14:paraId="6A41E8AD" w14:textId="77777777" w:rsidR="00F153FB" w:rsidRPr="00663B42" w:rsidRDefault="00F153FB" w:rsidP="00F153FB">
      <w:pPr>
        <w:rPr>
          <w:lang w:val="fr-FR" w:eastAsia="en-US"/>
        </w:rPr>
      </w:pPr>
      <w:r w:rsidRPr="00663B42">
        <w:rPr>
          <w:lang w:val="fr-FR" w:eastAsia="en-US"/>
        </w:rPr>
        <w:t>Les membres de l'équipe sont chargés d'appuyer l'évaluation en recueillant et en analysant les données, en examinant les dossiers de marchés sélectionnés, en proposant des recommandations et en documentant les résultats détaillés conformément à la méthodologie utilisée.</w:t>
      </w:r>
    </w:p>
    <w:p w14:paraId="7D88222A" w14:textId="77777777" w:rsidR="00F153FB" w:rsidRPr="00663B42" w:rsidRDefault="00F153FB" w:rsidP="00F153FB">
      <w:pPr>
        <w:rPr>
          <w:lang w:val="fr-FR" w:eastAsia="en-US"/>
        </w:rPr>
      </w:pPr>
      <w:r w:rsidRPr="00663B42">
        <w:rPr>
          <w:lang w:val="fr-FR" w:eastAsia="en-US"/>
        </w:rPr>
        <w:t>L'équipe d'évaluation travaillera en étroite collaboration avec le Comité de pilotage de l'évaluation. Le Comité de pilotage de l'évaluation est composé des membres suivants :</w:t>
      </w:r>
    </w:p>
    <w:p w14:paraId="7334471C" w14:textId="6A93A5FB" w:rsidR="005A4A35" w:rsidRPr="00663B42" w:rsidRDefault="00F153FB" w:rsidP="00F153FB">
      <w:pPr>
        <w:rPr>
          <w:lang w:val="fr-FR" w:eastAsia="en-US"/>
        </w:rPr>
      </w:pPr>
      <w:r w:rsidRPr="00663B42">
        <w:rPr>
          <w:lang w:val="fr-FR" w:eastAsia="en-US"/>
        </w:rPr>
        <w:t>- [Institution, Fonction, Noms]</w:t>
      </w:r>
    </w:p>
    <w:p w14:paraId="3798F43C" w14:textId="7D81F0D8" w:rsidR="005A4A35" w:rsidRPr="00663B42" w:rsidRDefault="005A4A35" w:rsidP="005A4A35">
      <w:pPr>
        <w:rPr>
          <w:lang w:val="fr-FR" w:eastAsia="en-US"/>
        </w:rPr>
      </w:pPr>
      <w:r w:rsidRPr="00663B42">
        <w:rPr>
          <w:highlight w:val="yellow"/>
          <w:lang w:val="fr-FR" w:eastAsia="en-US"/>
        </w:rPr>
        <w:t>[</w:t>
      </w:r>
      <w:r w:rsidR="00F153FB" w:rsidRPr="00663B42">
        <w:rPr>
          <w:highlight w:val="yellow"/>
          <w:lang w:val="fr-FR" w:eastAsia="en-US"/>
        </w:rPr>
        <w:t>Ajouter,</w:t>
      </w:r>
      <w:r w:rsidRPr="00663B42">
        <w:rPr>
          <w:highlight w:val="yellow"/>
          <w:lang w:val="fr-FR" w:eastAsia="en-US"/>
        </w:rPr>
        <w:t xml:space="preserve"> </w:t>
      </w:r>
      <w:r w:rsidR="00F153FB" w:rsidRPr="00663B42">
        <w:rPr>
          <w:highlight w:val="yellow"/>
          <w:lang w:val="fr-FR" w:eastAsia="en-US"/>
        </w:rPr>
        <w:t>s’il y a lieu</w:t>
      </w:r>
      <w:r w:rsidRPr="00663B42">
        <w:rPr>
          <w:highlight w:val="yellow"/>
          <w:lang w:val="fr-FR" w:eastAsia="en-US"/>
        </w:rPr>
        <w:t>:</w:t>
      </w:r>
      <w:r w:rsidRPr="00663B42">
        <w:rPr>
          <w:lang w:val="fr-FR" w:eastAsia="en-US"/>
        </w:rPr>
        <w:t>]</w:t>
      </w:r>
    </w:p>
    <w:p w14:paraId="4A206C0A" w14:textId="725FBD86" w:rsidR="00F153FB" w:rsidRPr="00663B42" w:rsidRDefault="00F153FB" w:rsidP="00F153FB">
      <w:pPr>
        <w:rPr>
          <w:lang w:val="fr-FR" w:eastAsia="en-US"/>
        </w:rPr>
      </w:pPr>
      <w:r w:rsidRPr="00663B42">
        <w:rPr>
          <w:lang w:val="fr-FR" w:eastAsia="en-US"/>
        </w:rPr>
        <w:t>L'équipe d'évaluation assurera la liaison avec[le partenaire externe] pour assurer une mise en œuvre rapide et harmonieuse de l'évaluation. La personne suivante est responsable :</w:t>
      </w:r>
    </w:p>
    <w:p w14:paraId="4D17C675" w14:textId="1DD043A7" w:rsidR="005A4A35" w:rsidRPr="00663B42" w:rsidRDefault="00F153FB" w:rsidP="00F153FB">
      <w:pPr>
        <w:rPr>
          <w:lang w:val="fr-FR" w:eastAsia="en-US"/>
        </w:rPr>
      </w:pPr>
      <w:r w:rsidRPr="00663B42">
        <w:rPr>
          <w:lang w:val="fr-FR" w:eastAsia="en-US"/>
        </w:rPr>
        <w:t>- [Partenaire externe, Fonction, Nom]</w:t>
      </w:r>
    </w:p>
    <w:p w14:paraId="728F3815" w14:textId="4D13FF7C" w:rsidR="0049373F" w:rsidRDefault="0049373F" w:rsidP="006D0011">
      <w:pPr>
        <w:shd w:val="clear" w:color="auto" w:fill="FFFFFF"/>
        <w:spacing w:after="0" w:line="240" w:lineRule="auto"/>
        <w:rPr>
          <w:rFonts w:ascii="Open Sans" w:eastAsia="Times New Roman" w:hAnsi="Open Sans" w:cs="Open Sans"/>
          <w:color w:val="000000"/>
          <w:sz w:val="21"/>
          <w:szCs w:val="21"/>
          <w:lang w:val="fr-FR" w:eastAsia="en-GB"/>
        </w:rPr>
      </w:pPr>
      <w:r>
        <w:rPr>
          <w:rFonts w:ascii="Open Sans" w:eastAsia="Times New Roman" w:hAnsi="Open Sans" w:cs="Open Sans"/>
          <w:color w:val="000000"/>
          <w:sz w:val="21"/>
          <w:szCs w:val="21"/>
          <w:lang w:val="fr-FR" w:eastAsia="en-GB"/>
        </w:rPr>
        <w:br w:type="page"/>
      </w:r>
    </w:p>
    <w:p w14:paraId="133D0E38" w14:textId="77777777" w:rsidR="00EA03DE" w:rsidRPr="00663B42" w:rsidRDefault="00EA03DE" w:rsidP="006D0011">
      <w:pPr>
        <w:shd w:val="clear" w:color="auto" w:fill="FFFFFF"/>
        <w:spacing w:after="0" w:line="240" w:lineRule="auto"/>
        <w:rPr>
          <w:rFonts w:ascii="Open Sans" w:eastAsia="Times New Roman" w:hAnsi="Open Sans" w:cs="Open Sans"/>
          <w:color w:val="000000"/>
          <w:sz w:val="21"/>
          <w:szCs w:val="21"/>
          <w:lang w:val="fr-FR" w:eastAsia="en-GB"/>
        </w:rPr>
      </w:pPr>
    </w:p>
    <w:p w14:paraId="462BF3D7" w14:textId="0510EF93" w:rsidR="005A4A35" w:rsidRPr="00663B42" w:rsidRDefault="005A4A35" w:rsidP="005A4A35">
      <w:pPr>
        <w:pStyle w:val="Heading2"/>
        <w:rPr>
          <w:lang w:val="fr-FR"/>
        </w:rPr>
      </w:pPr>
      <w:r w:rsidRPr="00663B42">
        <w:rPr>
          <w:lang w:val="fr-FR"/>
        </w:rPr>
        <w:t xml:space="preserve">5. </w:t>
      </w:r>
      <w:r w:rsidR="00F153FB" w:rsidRPr="00663B42">
        <w:rPr>
          <w:lang w:val="fr-FR"/>
        </w:rPr>
        <w:t>Exigences en matière de compétences</w:t>
      </w:r>
    </w:p>
    <w:p w14:paraId="31BAC5AC" w14:textId="755279E0" w:rsidR="00F153FB" w:rsidRPr="00663B42" w:rsidRDefault="00F86085" w:rsidP="00F153FB">
      <w:pPr>
        <w:rPr>
          <w:lang w:val="fr-FR"/>
        </w:rPr>
      </w:pPr>
      <w:r>
        <w:rPr>
          <w:lang w:val="fr-FR"/>
        </w:rPr>
        <w:t>L</w:t>
      </w:r>
      <w:r w:rsidRPr="00F86085">
        <w:rPr>
          <w:lang w:val="fr-FR"/>
        </w:rPr>
        <w:t xml:space="preserve">es évaluateurs doivent se conformer au </w:t>
      </w:r>
      <w:hyperlink r:id="rId15" w:history="1">
        <w:r w:rsidRPr="00F86085">
          <w:rPr>
            <w:rStyle w:val="Hyperlink"/>
            <w:lang w:val="fr-FR"/>
          </w:rPr>
          <w:t>profil proposé</w:t>
        </w:r>
      </w:hyperlink>
      <w:r w:rsidRPr="00F86085">
        <w:rPr>
          <w:lang w:val="fr-FR"/>
        </w:rPr>
        <w:t xml:space="preserve"> défini par le Secrétariat MAPS. Tout conflit d'intérêts doit être déclaré, en utilisant le </w:t>
      </w:r>
      <w:hyperlink r:id="rId16" w:history="1">
        <w:r w:rsidRPr="00F86085">
          <w:rPr>
            <w:rStyle w:val="Hyperlink"/>
            <w:lang w:val="fr-FR"/>
          </w:rPr>
          <w:t>modèle</w:t>
        </w:r>
      </w:hyperlink>
      <w:r w:rsidRPr="00F86085">
        <w:rPr>
          <w:lang w:val="fr-FR"/>
        </w:rPr>
        <w:t xml:space="preserve"> prévu à cet effet.</w:t>
      </w:r>
    </w:p>
    <w:p w14:paraId="2BF1BBDD" w14:textId="7768FD1E" w:rsidR="005A4A35" w:rsidRPr="00663B42" w:rsidRDefault="005A4A35" w:rsidP="005A4A35">
      <w:pPr>
        <w:pStyle w:val="Heading2"/>
        <w:rPr>
          <w:lang w:val="fr-FR"/>
        </w:rPr>
      </w:pPr>
      <w:r w:rsidRPr="00663B42">
        <w:rPr>
          <w:lang w:val="fr-FR"/>
        </w:rPr>
        <w:t xml:space="preserve">6. </w:t>
      </w:r>
      <w:r w:rsidR="00F153FB" w:rsidRPr="00663B42">
        <w:rPr>
          <w:lang w:val="fr-FR"/>
        </w:rPr>
        <w:t>Calendrier et livrables</w:t>
      </w:r>
    </w:p>
    <w:p w14:paraId="2164763E" w14:textId="501A45AE" w:rsidR="00663B42" w:rsidRPr="00663B42" w:rsidRDefault="00663B42" w:rsidP="00663B42">
      <w:pPr>
        <w:rPr>
          <w:lang w:val="fr-FR"/>
        </w:rPr>
      </w:pPr>
      <w:r w:rsidRPr="00663B42">
        <w:rPr>
          <w:lang w:val="fr-FR"/>
        </w:rPr>
        <w:t xml:space="preserve">Cette mission débutera le [date]. </w:t>
      </w:r>
    </w:p>
    <w:p w14:paraId="2618FC4C" w14:textId="1AF006D2" w:rsidR="00663B42" w:rsidRPr="00663B42" w:rsidRDefault="00663B42" w:rsidP="00663B42">
      <w:pPr>
        <w:rPr>
          <w:lang w:val="fr-FR"/>
        </w:rPr>
      </w:pPr>
      <w:r w:rsidRPr="00663B42">
        <w:rPr>
          <w:lang w:val="fr-FR"/>
        </w:rPr>
        <w:t xml:space="preserve">Il y aura [nombre] mission(s) à [pays/lieu]. </w:t>
      </w:r>
    </w:p>
    <w:p w14:paraId="2793A5EF" w14:textId="05425B44" w:rsidR="00663B42" w:rsidRPr="00663B42" w:rsidRDefault="00663B42" w:rsidP="00663B42">
      <w:pPr>
        <w:rPr>
          <w:lang w:val="fr-FR"/>
        </w:rPr>
      </w:pPr>
      <w:r w:rsidRPr="00663B42">
        <w:rPr>
          <w:lang w:val="fr-FR"/>
        </w:rPr>
        <w:t xml:space="preserve">La mission sera achevée avec la soumission du rapport d'évaluation final au plus tard le [date]. </w:t>
      </w:r>
    </w:p>
    <w:p w14:paraId="66518FBF" w14:textId="77777777" w:rsidR="00663B42" w:rsidRPr="00663B42" w:rsidRDefault="00663B42" w:rsidP="00663B42">
      <w:pPr>
        <w:rPr>
          <w:lang w:val="fr-FR"/>
        </w:rPr>
      </w:pPr>
      <w:r w:rsidRPr="00663B42">
        <w:rPr>
          <w:lang w:val="fr-FR"/>
        </w:rPr>
        <w:t>Le rapport d'évaluation est fourni dans la ou les langues suivantes : langue(s)].</w:t>
      </w:r>
    </w:p>
    <w:p w14:paraId="109CC61A" w14:textId="62048EFE" w:rsidR="00663B42" w:rsidRPr="00663B42" w:rsidRDefault="00663B42" w:rsidP="00663B42">
      <w:pPr>
        <w:rPr>
          <w:highlight w:val="yellow"/>
          <w:lang w:val="fr-FR"/>
        </w:rPr>
      </w:pPr>
      <w:r w:rsidRPr="00663B42">
        <w:rPr>
          <w:lang w:val="fr-FR"/>
        </w:rPr>
        <w:t>Le tableau ci-dessous résume les résultats à atteindre par l'équipe d'évaluation ou l'équipe de consultants et détaille les partenaires responsables et les délais.</w:t>
      </w:r>
    </w:p>
    <w:p w14:paraId="7276A266" w14:textId="6674512B" w:rsidR="00EA03DE" w:rsidRPr="00663B42" w:rsidRDefault="00EA03DE" w:rsidP="006D0011">
      <w:pPr>
        <w:shd w:val="clear" w:color="auto" w:fill="FFFFFF"/>
        <w:spacing w:after="0" w:line="240" w:lineRule="auto"/>
        <w:rPr>
          <w:rFonts w:ascii="Open Sans" w:eastAsia="Times New Roman" w:hAnsi="Open Sans" w:cs="Open Sans"/>
          <w:color w:val="000000"/>
          <w:sz w:val="21"/>
          <w:szCs w:val="21"/>
          <w:lang w:val="fr-FR" w:eastAsia="en-GB"/>
        </w:rPr>
      </w:pPr>
    </w:p>
    <w:p w14:paraId="4776A47A" w14:textId="619D5034" w:rsidR="00EA03DE" w:rsidRPr="00663B42" w:rsidRDefault="00663B42" w:rsidP="00EE7EA9">
      <w:pPr>
        <w:jc w:val="center"/>
        <w:rPr>
          <w:rFonts w:ascii="Open Sans" w:eastAsia="Times New Roman" w:hAnsi="Open Sans" w:cs="Open Sans"/>
          <w:color w:val="000000"/>
          <w:sz w:val="21"/>
          <w:szCs w:val="21"/>
          <w:lang w:val="fr-FR" w:eastAsia="en-GB"/>
        </w:rPr>
      </w:pPr>
      <w:r w:rsidRPr="00663B42">
        <w:rPr>
          <w:lang w:val="fr-FR"/>
        </w:rPr>
        <w:t xml:space="preserve"> </w:t>
      </w:r>
      <w:r w:rsidRPr="00663B42">
        <w:rPr>
          <w:highlight w:val="yellow"/>
          <w:lang w:val="fr-FR" w:eastAsia="en-US"/>
        </w:rPr>
        <w:t>[Le tableau doit être aligné sur la note de synthèse. Entrez les dates limites.]</w:t>
      </w:r>
    </w:p>
    <w:tbl>
      <w:tblPr>
        <w:tblStyle w:val="ListTable3-Accent31"/>
        <w:tblpPr w:leftFromText="180" w:rightFromText="180" w:vertAnchor="text" w:horzAnchor="margin" w:tblpY="192"/>
        <w:tblW w:w="9774" w:type="dxa"/>
        <w:tblLook w:val="04A0" w:firstRow="1" w:lastRow="0" w:firstColumn="1" w:lastColumn="0" w:noHBand="0" w:noVBand="1"/>
      </w:tblPr>
      <w:tblGrid>
        <w:gridCol w:w="3914"/>
        <w:gridCol w:w="2021"/>
        <w:gridCol w:w="1996"/>
        <w:gridCol w:w="1843"/>
      </w:tblGrid>
      <w:tr w:rsidR="00EE7EA9" w:rsidRPr="00663B42" w14:paraId="52AD11A0" w14:textId="77777777" w:rsidTr="00EE7EA9">
        <w:trPr>
          <w:cnfStyle w:val="100000000000" w:firstRow="1" w:lastRow="0" w:firstColumn="0" w:lastColumn="0" w:oddVBand="0" w:evenVBand="0" w:oddHBand="0" w:evenHBand="0" w:firstRowFirstColumn="0" w:firstRowLastColumn="0" w:lastRowFirstColumn="0" w:lastRowLastColumn="0"/>
          <w:trHeight w:val="443"/>
        </w:trPr>
        <w:tc>
          <w:tcPr>
            <w:cnfStyle w:val="001000000100" w:firstRow="0" w:lastRow="0" w:firstColumn="1" w:lastColumn="0" w:oddVBand="0" w:evenVBand="0" w:oddHBand="0" w:evenHBand="0" w:firstRowFirstColumn="1" w:firstRowLastColumn="0" w:lastRowFirstColumn="0" w:lastRowLastColumn="0"/>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A58C3" w14:textId="05A8F31C" w:rsidR="00EE7EA9" w:rsidRPr="00663B42" w:rsidRDefault="00663B42" w:rsidP="00EE7EA9">
            <w:pPr>
              <w:rPr>
                <w:rFonts w:ascii="Open Sans" w:eastAsia="Times New Roman" w:hAnsi="Open Sans" w:cs="Open Sans"/>
                <w:color w:val="FFFFFF" w:themeColor="background1"/>
                <w:lang w:val="fr-FR" w:eastAsia="en-GB"/>
              </w:rPr>
            </w:pPr>
            <w:r w:rsidRPr="00663B42">
              <w:rPr>
                <w:color w:val="FFFFFF" w:themeColor="background1"/>
                <w:lang w:val="fr-FR"/>
              </w:rPr>
              <w:t>Extrant</w:t>
            </w:r>
          </w:p>
        </w:tc>
        <w:tc>
          <w:tcPr>
            <w:tcW w:w="1984" w:type="dxa"/>
            <w:tcBorders>
              <w:top w:val="single" w:sz="4" w:space="0" w:color="FFFFFF" w:themeColor="background1"/>
              <w:left w:val="single" w:sz="4" w:space="0" w:color="FFFFFF" w:themeColor="background1"/>
              <w:bottom w:val="single" w:sz="4" w:space="0" w:color="099DD7" w:themeColor="accent3"/>
              <w:right w:val="single" w:sz="4" w:space="0" w:color="FFFFFF" w:themeColor="background1"/>
            </w:tcBorders>
          </w:tcPr>
          <w:p w14:paraId="1CDC10D3" w14:textId="6D126570" w:rsidR="00EE7EA9" w:rsidRPr="00663B42" w:rsidRDefault="00EE7EA9" w:rsidP="00663B42">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fr-FR" w:eastAsia="en-GB"/>
              </w:rPr>
            </w:pPr>
            <w:r w:rsidRPr="00663B42">
              <w:rPr>
                <w:color w:val="FFFFFF" w:themeColor="background1"/>
                <w:lang w:val="fr-FR"/>
              </w:rPr>
              <w:t>Respons</w:t>
            </w:r>
            <w:r w:rsidR="00663B42" w:rsidRPr="00663B42">
              <w:rPr>
                <w:color w:val="FFFFFF" w:themeColor="background1"/>
                <w:lang w:val="fr-FR"/>
              </w:rPr>
              <w:t>a</w:t>
            </w:r>
            <w:r w:rsidRPr="00663B42">
              <w:rPr>
                <w:color w:val="FFFFFF" w:themeColor="background1"/>
                <w:lang w:val="fr-FR"/>
              </w:rPr>
              <w:t xml:space="preserve">ble </w:t>
            </w:r>
          </w:p>
        </w:tc>
        <w:tc>
          <w:tcPr>
            <w:tcW w:w="2004" w:type="dxa"/>
            <w:tcBorders>
              <w:top w:val="single" w:sz="4" w:space="0" w:color="099DD7" w:themeColor="accent3"/>
              <w:left w:val="single" w:sz="4" w:space="0" w:color="FFFFFF" w:themeColor="background1"/>
              <w:bottom w:val="single" w:sz="4" w:space="0" w:color="FFFFFF" w:themeColor="background1"/>
            </w:tcBorders>
          </w:tcPr>
          <w:p w14:paraId="417E3C47" w14:textId="053291F6" w:rsidR="00EE7EA9" w:rsidRPr="00663B42" w:rsidRDefault="00EE7EA9" w:rsidP="00663B42">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fr-FR" w:eastAsia="en-GB"/>
              </w:rPr>
            </w:pPr>
            <w:r w:rsidRPr="00663B42">
              <w:rPr>
                <w:color w:val="FFFFFF" w:themeColor="background1"/>
                <w:lang w:val="fr-FR"/>
              </w:rPr>
              <w:t>C</w:t>
            </w:r>
            <w:r w:rsidR="00663B42" w:rsidRPr="00663B42">
              <w:rPr>
                <w:color w:val="FFFFFF" w:themeColor="background1"/>
                <w:lang w:val="fr-FR"/>
              </w:rPr>
              <w:t>oopé</w:t>
            </w:r>
            <w:r w:rsidRPr="00663B42">
              <w:rPr>
                <w:color w:val="FFFFFF" w:themeColor="background1"/>
                <w:lang w:val="fr-FR"/>
              </w:rPr>
              <w:t xml:space="preserve">ration </w:t>
            </w:r>
            <w:r w:rsidR="00663B42" w:rsidRPr="00663B42">
              <w:rPr>
                <w:color w:val="FFFFFF" w:themeColor="background1"/>
                <w:lang w:val="fr-FR"/>
              </w:rPr>
              <w:t>avec</w:t>
            </w:r>
          </w:p>
        </w:tc>
        <w:tc>
          <w:tcPr>
            <w:tcW w:w="1850" w:type="dxa"/>
            <w:tcBorders>
              <w:top w:val="single" w:sz="4" w:space="0" w:color="099DD7" w:themeColor="accent3"/>
              <w:left w:val="single" w:sz="4" w:space="0" w:color="FFFFFF" w:themeColor="background1"/>
              <w:bottom w:val="single" w:sz="4" w:space="0" w:color="FFFFFF" w:themeColor="background1"/>
            </w:tcBorders>
          </w:tcPr>
          <w:p w14:paraId="22DB5087" w14:textId="45C68316" w:rsidR="00EE7EA9" w:rsidRPr="00663B42" w:rsidRDefault="00EE7EA9" w:rsidP="00663B42">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fr-FR" w:eastAsia="en-GB"/>
              </w:rPr>
            </w:pPr>
            <w:r w:rsidRPr="00663B42">
              <w:rPr>
                <w:color w:val="FFFFFF" w:themeColor="background1"/>
                <w:lang w:val="fr-FR"/>
              </w:rPr>
              <w:t>D</w:t>
            </w:r>
            <w:r w:rsidR="00663B42" w:rsidRPr="00663B42">
              <w:rPr>
                <w:color w:val="FFFFFF" w:themeColor="background1"/>
                <w:lang w:val="fr-FR"/>
              </w:rPr>
              <w:t>ate limite</w:t>
            </w:r>
          </w:p>
        </w:tc>
      </w:tr>
      <w:tr w:rsidR="00EE7EA9" w:rsidRPr="00663B42" w14:paraId="53AFE746" w14:textId="77777777" w:rsidTr="00EE7EA9">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FFFFF" w:themeColor="background1"/>
              <w:right w:val="single" w:sz="4" w:space="0" w:color="099DD7" w:themeColor="accent3"/>
            </w:tcBorders>
          </w:tcPr>
          <w:p w14:paraId="548A0502" w14:textId="32437AF4" w:rsidR="00EE7EA9" w:rsidRPr="00663B42" w:rsidRDefault="00663B42" w:rsidP="00663B42">
            <w:pPr>
              <w:jc w:val="left"/>
              <w:rPr>
                <w:rFonts w:ascii="Open Sans" w:eastAsia="Times New Roman" w:hAnsi="Open Sans" w:cs="Open Sans"/>
                <w:b w:val="0"/>
                <w:color w:val="000000"/>
                <w:lang w:val="fr-FR" w:eastAsia="en-GB"/>
              </w:rPr>
            </w:pPr>
            <w:r w:rsidRPr="00663B42">
              <w:rPr>
                <w:b w:val="0"/>
                <w:lang w:val="fr-FR"/>
              </w:rPr>
              <w:t>Analyse contextuelle du pays</w:t>
            </w:r>
          </w:p>
        </w:tc>
        <w:tc>
          <w:tcPr>
            <w:tcW w:w="1984" w:type="dxa"/>
            <w:tcBorders>
              <w:left w:val="single" w:sz="4" w:space="0" w:color="099DD7" w:themeColor="accent3"/>
              <w:right w:val="single" w:sz="4" w:space="0" w:color="099DD7" w:themeColor="accent3"/>
            </w:tcBorders>
          </w:tcPr>
          <w:p w14:paraId="4DEF0E6B" w14:textId="2E1D1D0C" w:rsidR="00EE7EA9" w:rsidRPr="00663B42" w:rsidRDefault="00663B42" w:rsidP="001B0B56">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r w:rsidRPr="00663B42">
              <w:rPr>
                <w:lang w:val="fr-FR"/>
              </w:rPr>
              <w:t>Équipe d'évaluation/Équipe de consultants</w:t>
            </w:r>
          </w:p>
        </w:tc>
        <w:tc>
          <w:tcPr>
            <w:tcW w:w="2004" w:type="dxa"/>
            <w:tcBorders>
              <w:top w:val="single" w:sz="4" w:space="0" w:color="FFFFFF" w:themeColor="background1"/>
              <w:left w:val="single" w:sz="4" w:space="0" w:color="099DD7" w:themeColor="accent3"/>
            </w:tcBorders>
          </w:tcPr>
          <w:p w14:paraId="6708FFE7" w14:textId="27F151D8" w:rsidR="00EE7EA9" w:rsidRPr="00663B42" w:rsidRDefault="00663B42" w:rsidP="00EE7EA9">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r w:rsidRPr="00663B42">
              <w:rPr>
                <w:lang w:val="fr-FR"/>
              </w:rPr>
              <w:t>Comité de pilotage de l'évaluation</w:t>
            </w:r>
          </w:p>
        </w:tc>
        <w:tc>
          <w:tcPr>
            <w:tcW w:w="1850" w:type="dxa"/>
            <w:tcBorders>
              <w:top w:val="single" w:sz="4" w:space="0" w:color="FFFFFF" w:themeColor="background1"/>
              <w:left w:val="single" w:sz="4" w:space="0" w:color="099DD7" w:themeColor="accent3"/>
            </w:tcBorders>
          </w:tcPr>
          <w:p w14:paraId="5F4E235F" w14:textId="76163989" w:rsidR="00EE7EA9" w:rsidRPr="00663B42" w:rsidRDefault="00EE7EA9" w:rsidP="00EE7EA9">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r w:rsidRPr="00663B42">
              <w:rPr>
                <w:lang w:val="fr-FR"/>
              </w:rPr>
              <w:t>[Date]</w:t>
            </w:r>
          </w:p>
        </w:tc>
      </w:tr>
      <w:tr w:rsidR="00EE7EA9" w:rsidRPr="00663B42" w14:paraId="394D96F4" w14:textId="77777777" w:rsidTr="0049373F">
        <w:trPr>
          <w:trHeight w:val="3109"/>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76EA7A79" w14:textId="499F0546" w:rsidR="00663B42" w:rsidRPr="00561EAE" w:rsidRDefault="00663B42" w:rsidP="00663B42">
            <w:pPr>
              <w:jc w:val="left"/>
              <w:rPr>
                <w:b w:val="0"/>
                <w:lang w:val="fr-FR"/>
              </w:rPr>
            </w:pPr>
            <w:r w:rsidRPr="00561EAE">
              <w:rPr>
                <w:b w:val="0"/>
                <w:lang w:val="fr-FR"/>
              </w:rPr>
              <w:t>Évaluation du système de passation des marchés publics</w:t>
            </w:r>
          </w:p>
          <w:p w14:paraId="1C695A50" w14:textId="5E9C20E4" w:rsidR="00663B42" w:rsidRPr="00561EAE" w:rsidRDefault="00663B42" w:rsidP="00561EAE">
            <w:pPr>
              <w:pStyle w:val="ListParagraph"/>
              <w:numPr>
                <w:ilvl w:val="0"/>
                <w:numId w:val="12"/>
              </w:numPr>
              <w:jc w:val="left"/>
              <w:rPr>
                <w:b w:val="0"/>
                <w:lang w:val="fr-FR"/>
              </w:rPr>
            </w:pPr>
            <w:r w:rsidRPr="00561EAE">
              <w:rPr>
                <w:b w:val="0"/>
                <w:lang w:val="fr-FR"/>
              </w:rPr>
              <w:t>Élaborer et mettre à jour régulièrement le calendrier d'évaluation</w:t>
            </w:r>
          </w:p>
          <w:p w14:paraId="10BA6756" w14:textId="61B7896A" w:rsidR="00663B42" w:rsidRPr="00561EAE" w:rsidRDefault="00663B42" w:rsidP="00561EAE">
            <w:pPr>
              <w:pStyle w:val="ListParagraph"/>
              <w:numPr>
                <w:ilvl w:val="0"/>
                <w:numId w:val="12"/>
              </w:numPr>
              <w:jc w:val="left"/>
              <w:rPr>
                <w:b w:val="0"/>
                <w:lang w:val="fr-FR"/>
              </w:rPr>
            </w:pPr>
            <w:r w:rsidRPr="00561EAE">
              <w:rPr>
                <w:b w:val="0"/>
                <w:lang w:val="fr-FR"/>
              </w:rPr>
              <w:t>Collecter des données (qualitatives et quantitatives)</w:t>
            </w:r>
          </w:p>
          <w:p w14:paraId="1E485A9F" w14:textId="744E948B" w:rsidR="00663B42" w:rsidRPr="0049373F" w:rsidRDefault="00663B42" w:rsidP="00663B42">
            <w:pPr>
              <w:pStyle w:val="ListParagraph"/>
              <w:numPr>
                <w:ilvl w:val="0"/>
                <w:numId w:val="6"/>
              </w:numPr>
              <w:jc w:val="left"/>
              <w:rPr>
                <w:b w:val="0"/>
                <w:lang w:val="fr-FR"/>
              </w:rPr>
            </w:pPr>
            <w:r w:rsidRPr="00561EAE">
              <w:rPr>
                <w:b w:val="0"/>
                <w:lang w:val="fr-FR"/>
              </w:rPr>
              <w:t>Appliquer les indicateurs de la MAPS en utilisant l'approche en trois étapes (voir la section I de la MAPS, 13-24).</w:t>
            </w:r>
          </w:p>
        </w:tc>
        <w:tc>
          <w:tcPr>
            <w:tcW w:w="1984"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8C958B5" w14:textId="3F3B086F" w:rsidR="00EE7EA9" w:rsidRPr="00663B42" w:rsidRDefault="00663B42" w:rsidP="001B0B56">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r w:rsidRPr="00663B42">
              <w:rPr>
                <w:lang w:val="fr-FR"/>
              </w:rPr>
              <w:t>Équipe d'évaluation/Équipe de consultants</w:t>
            </w:r>
          </w:p>
        </w:tc>
        <w:tc>
          <w:tcPr>
            <w:tcW w:w="2004"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3F5CF484" w14:textId="7E7F9BC8" w:rsidR="00EE7EA9" w:rsidRPr="00663B42" w:rsidRDefault="00663B42" w:rsidP="00EE7EA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r w:rsidRPr="00663B42">
              <w:rPr>
                <w:rFonts w:ascii="Calibri" w:hAnsi="Calibri"/>
                <w:lang w:val="fr-FR"/>
              </w:rPr>
              <w:t>Comité de pilotage de l'évaluation</w:t>
            </w:r>
          </w:p>
        </w:tc>
        <w:tc>
          <w:tcPr>
            <w:tcW w:w="1850"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6C1D40D8" w14:textId="0172E011" w:rsidR="00EE7EA9" w:rsidRPr="00663B42" w:rsidRDefault="00EE7EA9" w:rsidP="00EE7EA9">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r w:rsidRPr="00663B42">
              <w:rPr>
                <w:rFonts w:ascii="Calibri" w:hAnsi="Calibri"/>
                <w:lang w:val="fr-FR"/>
              </w:rPr>
              <w:t>[Date]</w:t>
            </w:r>
          </w:p>
        </w:tc>
      </w:tr>
      <w:tr w:rsidR="00EE7EA9" w:rsidRPr="00663B42" w14:paraId="2B0E29A9" w14:textId="77777777" w:rsidTr="00EE7EA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936" w:type="dxa"/>
            <w:tcBorders>
              <w:right w:val="single" w:sz="4" w:space="0" w:color="099DD7" w:themeColor="accent3"/>
            </w:tcBorders>
          </w:tcPr>
          <w:p w14:paraId="70A4EB79" w14:textId="7EA22D47" w:rsidR="00EE7EA9" w:rsidRPr="00663B42" w:rsidRDefault="00663B42" w:rsidP="001B0B56">
            <w:pPr>
              <w:jc w:val="left"/>
              <w:rPr>
                <w:rFonts w:ascii="Open Sans" w:eastAsia="Times New Roman" w:hAnsi="Open Sans" w:cs="Open Sans"/>
                <w:b w:val="0"/>
                <w:color w:val="000000"/>
                <w:lang w:val="fr-FR" w:eastAsia="en-GB"/>
              </w:rPr>
            </w:pPr>
            <w:r w:rsidRPr="00663B42">
              <w:rPr>
                <w:b w:val="0"/>
                <w:lang w:val="fr-FR"/>
              </w:rPr>
              <w:t>Formulation de recommandations en vue d'une réforme prioritaire</w:t>
            </w:r>
          </w:p>
        </w:tc>
        <w:tc>
          <w:tcPr>
            <w:tcW w:w="1984" w:type="dxa"/>
            <w:tcBorders>
              <w:left w:val="single" w:sz="4" w:space="0" w:color="099DD7" w:themeColor="accent3"/>
              <w:right w:val="single" w:sz="4" w:space="0" w:color="099DD7" w:themeColor="accent3"/>
            </w:tcBorders>
          </w:tcPr>
          <w:p w14:paraId="01EA8330" w14:textId="0482C2B7" w:rsidR="006B6837" w:rsidRPr="00663B42" w:rsidRDefault="00663B42" w:rsidP="001B0B56">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r w:rsidRPr="00663B42">
              <w:rPr>
                <w:lang w:val="fr-FR"/>
              </w:rPr>
              <w:t>Équipe d'évaluation/Équipe de consultants</w:t>
            </w:r>
          </w:p>
        </w:tc>
        <w:tc>
          <w:tcPr>
            <w:tcW w:w="2004" w:type="dxa"/>
            <w:tcBorders>
              <w:left w:val="single" w:sz="4" w:space="0" w:color="099DD7" w:themeColor="accent3"/>
            </w:tcBorders>
          </w:tcPr>
          <w:p w14:paraId="1CB7703A" w14:textId="00E0C42C" w:rsidR="00EE7EA9" w:rsidRPr="00663B42" w:rsidRDefault="00663B42" w:rsidP="00EE7EA9">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r w:rsidRPr="00663B42">
              <w:rPr>
                <w:rFonts w:ascii="Calibri" w:hAnsi="Calibri"/>
                <w:lang w:val="fr-FR"/>
              </w:rPr>
              <w:t>Comité de pilotage de l'évaluation</w:t>
            </w:r>
          </w:p>
        </w:tc>
        <w:tc>
          <w:tcPr>
            <w:tcW w:w="1850" w:type="dxa"/>
            <w:tcBorders>
              <w:left w:val="single" w:sz="4" w:space="0" w:color="099DD7" w:themeColor="accent3"/>
            </w:tcBorders>
          </w:tcPr>
          <w:p w14:paraId="445925DB" w14:textId="35286DF0" w:rsidR="00EE7EA9" w:rsidRPr="00663B42" w:rsidRDefault="00EE7EA9" w:rsidP="00EE7EA9">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r w:rsidRPr="00663B42">
              <w:rPr>
                <w:lang w:val="fr-FR"/>
              </w:rPr>
              <w:t>[Date]</w:t>
            </w:r>
          </w:p>
        </w:tc>
      </w:tr>
      <w:tr w:rsidR="00EE7EA9" w:rsidRPr="00663B42" w14:paraId="585249BE" w14:textId="77777777" w:rsidTr="00EE7EA9">
        <w:trPr>
          <w:trHeight w:val="443"/>
        </w:trPr>
        <w:tc>
          <w:tcPr>
            <w:cnfStyle w:val="001000000000" w:firstRow="0" w:lastRow="0" w:firstColumn="1" w:lastColumn="0" w:oddVBand="0" w:evenVBand="0" w:oddHBand="0" w:evenHBand="0" w:firstRowFirstColumn="0" w:firstRowLastColumn="0" w:lastRowFirstColumn="0" w:lastRowLastColumn="0"/>
            <w:tcW w:w="3936" w:type="dxa"/>
            <w:tcBorders>
              <w:bottom w:val="single" w:sz="4" w:space="0" w:color="099DD7" w:themeColor="accent3"/>
              <w:right w:val="single" w:sz="4" w:space="0" w:color="099DD7" w:themeColor="accent3"/>
            </w:tcBorders>
          </w:tcPr>
          <w:p w14:paraId="59610FD6" w14:textId="47792FC6" w:rsidR="00EE7EA9" w:rsidRPr="00663B42" w:rsidRDefault="00663B42" w:rsidP="00663B42">
            <w:pPr>
              <w:jc w:val="left"/>
              <w:rPr>
                <w:rFonts w:ascii="Open Sans" w:eastAsia="Times New Roman" w:hAnsi="Open Sans" w:cs="Open Sans"/>
                <w:b w:val="0"/>
                <w:color w:val="000000"/>
                <w:lang w:val="fr-FR" w:eastAsia="en-GB"/>
              </w:rPr>
            </w:pPr>
            <w:r w:rsidRPr="00663B42">
              <w:rPr>
                <w:b w:val="0"/>
                <w:lang w:val="fr-FR"/>
              </w:rPr>
              <w:t>Validation des conclusions</w:t>
            </w:r>
          </w:p>
        </w:tc>
        <w:tc>
          <w:tcPr>
            <w:tcW w:w="1984" w:type="dxa"/>
            <w:tcBorders>
              <w:left w:val="single" w:sz="4" w:space="0" w:color="099DD7" w:themeColor="accent3"/>
              <w:bottom w:val="single" w:sz="4" w:space="0" w:color="099DD7" w:themeColor="accent3"/>
              <w:right w:val="single" w:sz="4" w:space="0" w:color="099DD7" w:themeColor="accent3"/>
            </w:tcBorders>
          </w:tcPr>
          <w:p w14:paraId="7BA95D9B" w14:textId="78773607" w:rsidR="00EE7EA9" w:rsidRPr="00663B42" w:rsidRDefault="00663B42" w:rsidP="001B0B56">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r w:rsidRPr="00663B42">
              <w:rPr>
                <w:lang w:val="fr-FR"/>
              </w:rPr>
              <w:t xml:space="preserve">Gouvernement ; avec l'équipe d'évaluation/de l'équipe de </w:t>
            </w:r>
            <w:r w:rsidRPr="00663B42">
              <w:rPr>
                <w:lang w:val="fr-FR"/>
              </w:rPr>
              <w:lastRenderedPageBreak/>
              <w:t>consultants comme facilitateurs</w:t>
            </w:r>
          </w:p>
        </w:tc>
        <w:tc>
          <w:tcPr>
            <w:tcW w:w="2004" w:type="dxa"/>
            <w:tcBorders>
              <w:left w:val="single" w:sz="4" w:space="0" w:color="099DD7" w:themeColor="accent3"/>
              <w:bottom w:val="single" w:sz="4" w:space="0" w:color="099DD7" w:themeColor="accent3"/>
            </w:tcBorders>
          </w:tcPr>
          <w:p w14:paraId="52923D9E" w14:textId="77777777" w:rsidR="00663B42" w:rsidRPr="00663B42" w:rsidRDefault="00663B42" w:rsidP="00663B42">
            <w:pPr>
              <w:cnfStyle w:val="000000000000" w:firstRow="0" w:lastRow="0" w:firstColumn="0" w:lastColumn="0" w:oddVBand="0" w:evenVBand="0" w:oddHBand="0" w:evenHBand="0" w:firstRowFirstColumn="0" w:firstRowLastColumn="0" w:lastRowFirstColumn="0" w:lastRowLastColumn="0"/>
              <w:rPr>
                <w:lang w:val="fr-FR"/>
              </w:rPr>
            </w:pPr>
            <w:r w:rsidRPr="00663B42">
              <w:rPr>
                <w:lang w:val="fr-FR"/>
              </w:rPr>
              <w:lastRenderedPageBreak/>
              <w:t>Intervenants</w:t>
            </w:r>
          </w:p>
          <w:p w14:paraId="4F52BC4D" w14:textId="77777777" w:rsidR="00663B42" w:rsidRPr="00663B42" w:rsidRDefault="00663B42" w:rsidP="00663B42">
            <w:pPr>
              <w:cnfStyle w:val="000000000000" w:firstRow="0" w:lastRow="0" w:firstColumn="0" w:lastColumn="0" w:oddVBand="0" w:evenVBand="0" w:oddHBand="0" w:evenHBand="0" w:firstRowFirstColumn="0" w:firstRowLastColumn="0" w:lastRowFirstColumn="0" w:lastRowLastColumn="0"/>
              <w:rPr>
                <w:lang w:val="fr-FR"/>
              </w:rPr>
            </w:pPr>
            <w:r w:rsidRPr="00663B42">
              <w:rPr>
                <w:lang w:val="fr-FR"/>
              </w:rPr>
              <w:t>Partenaire externe</w:t>
            </w:r>
          </w:p>
          <w:p w14:paraId="2B78ED7C" w14:textId="340EB103" w:rsidR="00EE7EA9" w:rsidRPr="00663B42" w:rsidRDefault="00663B42" w:rsidP="00663B42">
            <w:pPr>
              <w:cnfStyle w:val="000000000000" w:firstRow="0" w:lastRow="0" w:firstColumn="0" w:lastColumn="0" w:oddVBand="0" w:evenVBand="0" w:oddHBand="0" w:evenHBand="0" w:firstRowFirstColumn="0" w:firstRowLastColumn="0" w:lastRowFirstColumn="0" w:lastRowLastColumn="0"/>
              <w:rPr>
                <w:rFonts w:ascii="Calibri" w:hAnsi="Calibri"/>
                <w:lang w:val="fr-FR"/>
              </w:rPr>
            </w:pPr>
            <w:r w:rsidRPr="00663B42">
              <w:rPr>
                <w:lang w:val="fr-FR"/>
              </w:rPr>
              <w:t>Examinateurs pairs</w:t>
            </w:r>
          </w:p>
        </w:tc>
        <w:tc>
          <w:tcPr>
            <w:tcW w:w="1850" w:type="dxa"/>
            <w:tcBorders>
              <w:left w:val="single" w:sz="4" w:space="0" w:color="099DD7" w:themeColor="accent3"/>
              <w:bottom w:val="single" w:sz="4" w:space="0" w:color="099DD7" w:themeColor="accent3"/>
            </w:tcBorders>
          </w:tcPr>
          <w:p w14:paraId="593B705B" w14:textId="39DD2824" w:rsidR="00EE7EA9" w:rsidRPr="00663B42" w:rsidRDefault="00EE7EA9" w:rsidP="00EE7EA9">
            <w:pPr>
              <w:cnfStyle w:val="000000000000" w:firstRow="0" w:lastRow="0" w:firstColumn="0" w:lastColumn="0" w:oddVBand="0" w:evenVBand="0" w:oddHBand="0" w:evenHBand="0" w:firstRowFirstColumn="0" w:firstRowLastColumn="0" w:lastRowFirstColumn="0" w:lastRowLastColumn="0"/>
              <w:rPr>
                <w:rFonts w:ascii="Calibri" w:hAnsi="Calibri"/>
                <w:lang w:val="fr-FR"/>
              </w:rPr>
            </w:pPr>
            <w:r w:rsidRPr="00663B42">
              <w:rPr>
                <w:lang w:val="fr-FR"/>
              </w:rPr>
              <w:t>[Date]</w:t>
            </w:r>
          </w:p>
        </w:tc>
      </w:tr>
      <w:tr w:rsidR="00EE7EA9" w:rsidRPr="001332B9" w14:paraId="46870CEB" w14:textId="77777777" w:rsidTr="00EE7EA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936" w:type="dxa"/>
            <w:tcBorders>
              <w:right w:val="single" w:sz="4" w:space="0" w:color="099DD7" w:themeColor="accent3"/>
            </w:tcBorders>
          </w:tcPr>
          <w:p w14:paraId="6618B261" w14:textId="77777777" w:rsidR="00663B42" w:rsidRPr="00663B42" w:rsidRDefault="00663B42" w:rsidP="00663B42">
            <w:pPr>
              <w:jc w:val="left"/>
              <w:rPr>
                <w:b w:val="0"/>
                <w:lang w:val="fr-FR"/>
              </w:rPr>
            </w:pPr>
            <w:r w:rsidRPr="00663B42">
              <w:rPr>
                <w:b w:val="0"/>
                <w:lang w:val="fr-FR"/>
              </w:rPr>
              <w:t xml:space="preserve">Rapport d'évaluation </w:t>
            </w:r>
          </w:p>
          <w:p w14:paraId="5C80298C" w14:textId="25DAA0D4" w:rsidR="00663B42" w:rsidRPr="00663B42" w:rsidRDefault="00663B42" w:rsidP="00663B42">
            <w:pPr>
              <w:jc w:val="left"/>
              <w:rPr>
                <w:b w:val="0"/>
                <w:lang w:val="fr-FR"/>
              </w:rPr>
            </w:pPr>
            <w:r w:rsidRPr="00663B42">
              <w:rPr>
                <w:b w:val="0"/>
                <w:lang w:val="fr-FR"/>
              </w:rPr>
              <w:t xml:space="preserve">Préliminaire </w:t>
            </w:r>
          </w:p>
          <w:p w14:paraId="3BC6D8CB" w14:textId="77777777" w:rsidR="00663B42" w:rsidRPr="00663B42" w:rsidRDefault="00663B42" w:rsidP="00663B42">
            <w:pPr>
              <w:jc w:val="left"/>
              <w:rPr>
                <w:b w:val="0"/>
                <w:lang w:val="fr-FR"/>
              </w:rPr>
            </w:pPr>
            <w:r w:rsidRPr="00663B42">
              <w:rPr>
                <w:b w:val="0"/>
                <w:lang w:val="fr-FR"/>
              </w:rPr>
              <w:t>Examen/commentaires</w:t>
            </w:r>
          </w:p>
          <w:p w14:paraId="67E3F36F" w14:textId="5677C407" w:rsidR="00EE7EA9" w:rsidRPr="00663B42" w:rsidRDefault="00663B42" w:rsidP="00663B42">
            <w:pPr>
              <w:jc w:val="left"/>
              <w:rPr>
                <w:rFonts w:ascii="Open Sans" w:eastAsia="Times New Roman" w:hAnsi="Open Sans" w:cs="Open Sans"/>
                <w:b w:val="0"/>
                <w:color w:val="000000"/>
                <w:lang w:val="fr-FR" w:eastAsia="en-GB"/>
              </w:rPr>
            </w:pPr>
            <w:r w:rsidRPr="00663B42">
              <w:rPr>
                <w:b w:val="0"/>
                <w:lang w:val="fr-FR"/>
              </w:rPr>
              <w:t>Rapport final</w:t>
            </w:r>
          </w:p>
        </w:tc>
        <w:tc>
          <w:tcPr>
            <w:tcW w:w="1984" w:type="dxa"/>
            <w:tcBorders>
              <w:left w:val="single" w:sz="4" w:space="0" w:color="099DD7" w:themeColor="accent3"/>
              <w:right w:val="single" w:sz="4" w:space="0" w:color="099DD7" w:themeColor="accent3"/>
            </w:tcBorders>
          </w:tcPr>
          <w:p w14:paraId="2EFEDB5E" w14:textId="4777D90C" w:rsidR="00EE7EA9" w:rsidRPr="00663B42" w:rsidRDefault="00663B42" w:rsidP="001B0B56">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r w:rsidRPr="00663B42">
              <w:rPr>
                <w:rFonts w:ascii="Calibri" w:hAnsi="Calibri"/>
                <w:lang w:val="fr-FR"/>
              </w:rPr>
              <w:t>Équipe d'évaluation/Équipe de consultants</w:t>
            </w:r>
          </w:p>
        </w:tc>
        <w:tc>
          <w:tcPr>
            <w:tcW w:w="2004" w:type="dxa"/>
            <w:tcBorders>
              <w:left w:val="single" w:sz="4" w:space="0" w:color="099DD7" w:themeColor="accent3"/>
              <w:right w:val="single" w:sz="4" w:space="0" w:color="099DD7" w:themeColor="accent3"/>
            </w:tcBorders>
          </w:tcPr>
          <w:p w14:paraId="1F5AE4D0" w14:textId="704D1E9B" w:rsidR="00663B42" w:rsidRPr="00663B42" w:rsidRDefault="00663B42" w:rsidP="00663B42">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r w:rsidRPr="00663B42">
              <w:rPr>
                <w:rFonts w:ascii="Calibri" w:hAnsi="Calibri"/>
                <w:lang w:val="fr-FR"/>
              </w:rPr>
              <w:t>Comité de pilotage de l'évaluation</w:t>
            </w:r>
          </w:p>
          <w:p w14:paraId="02326A29" w14:textId="1CC33140" w:rsidR="00EE7EA9" w:rsidRPr="00663B42" w:rsidRDefault="00663B42" w:rsidP="00663B42">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r w:rsidRPr="00663B42">
              <w:rPr>
                <w:rFonts w:ascii="Calibri" w:hAnsi="Calibri"/>
                <w:lang w:val="fr-FR"/>
              </w:rPr>
              <w:t>[Assurance de la qualité de la MAPS : Secrétariat de la MAPS/ Groupe  technique consultatif]</w:t>
            </w:r>
          </w:p>
        </w:tc>
        <w:tc>
          <w:tcPr>
            <w:tcW w:w="1850" w:type="dxa"/>
            <w:tcBorders>
              <w:left w:val="single" w:sz="4" w:space="0" w:color="099DD7" w:themeColor="accent3"/>
            </w:tcBorders>
          </w:tcPr>
          <w:p w14:paraId="3480BEE9" w14:textId="7DBC0B1D" w:rsidR="00663B42" w:rsidRPr="00663B42" w:rsidRDefault="00663B42" w:rsidP="00663B42">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r w:rsidRPr="00663B42">
              <w:rPr>
                <w:rFonts w:ascii="Calibri" w:hAnsi="Calibri"/>
                <w:lang w:val="fr-FR"/>
              </w:rPr>
              <w:t>Rapport préliminaire:</w:t>
            </w:r>
            <w:r w:rsidR="002738F4">
              <w:rPr>
                <w:rFonts w:ascii="Calibri" w:hAnsi="Calibri"/>
                <w:lang w:val="fr-FR"/>
              </w:rPr>
              <w:t xml:space="preserve"> </w:t>
            </w:r>
            <w:r w:rsidRPr="00663B42">
              <w:rPr>
                <w:rFonts w:ascii="Calibri" w:hAnsi="Calibri"/>
                <w:lang w:val="fr-FR"/>
              </w:rPr>
              <w:t>[Date]</w:t>
            </w:r>
          </w:p>
          <w:p w14:paraId="4A28B8CD" w14:textId="77777777" w:rsidR="00663B42" w:rsidRPr="00663B42" w:rsidRDefault="00663B42" w:rsidP="00663B42">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p>
          <w:p w14:paraId="631F6588" w14:textId="429C3578" w:rsidR="00EE7EA9" w:rsidRPr="00663B42" w:rsidRDefault="00663B42" w:rsidP="00663B42">
            <w:pPr>
              <w:jc w:val="left"/>
              <w:cnfStyle w:val="000000100000" w:firstRow="0" w:lastRow="0" w:firstColumn="0" w:lastColumn="0" w:oddVBand="0" w:evenVBand="0" w:oddHBand="1" w:evenHBand="0" w:firstRowFirstColumn="0" w:firstRowLastColumn="0" w:lastRowFirstColumn="0" w:lastRowLastColumn="0"/>
              <w:rPr>
                <w:rFonts w:ascii="Calibri" w:hAnsi="Calibri"/>
                <w:lang w:val="fr-FR"/>
              </w:rPr>
            </w:pPr>
            <w:r w:rsidRPr="00663B42">
              <w:rPr>
                <w:rFonts w:ascii="Calibri" w:hAnsi="Calibri"/>
                <w:lang w:val="fr-FR"/>
              </w:rPr>
              <w:t xml:space="preserve">Rapport final </w:t>
            </w:r>
            <w:r w:rsidR="002738F4" w:rsidRPr="00663B42">
              <w:rPr>
                <w:rFonts w:ascii="Calibri" w:hAnsi="Calibri"/>
                <w:lang w:val="fr-FR"/>
              </w:rPr>
              <w:t>: [</w:t>
            </w:r>
            <w:r w:rsidRPr="00663B42">
              <w:rPr>
                <w:rFonts w:ascii="Calibri" w:hAnsi="Calibri"/>
                <w:lang w:val="fr-FR"/>
              </w:rPr>
              <w:t>Date]</w:t>
            </w:r>
          </w:p>
        </w:tc>
      </w:tr>
      <w:tr w:rsidR="006B6837" w:rsidRPr="001332B9" w14:paraId="6EB18A0B" w14:textId="77777777" w:rsidTr="000B592F">
        <w:trPr>
          <w:trHeight w:val="443"/>
        </w:trPr>
        <w:tc>
          <w:tcPr>
            <w:cnfStyle w:val="001000000000" w:firstRow="0" w:lastRow="0" w:firstColumn="1" w:lastColumn="0" w:oddVBand="0" w:evenVBand="0" w:oddHBand="0" w:evenHBand="0" w:firstRowFirstColumn="0" w:firstRowLastColumn="0" w:lastRowFirstColumn="0" w:lastRowLastColumn="0"/>
            <w:tcW w:w="3936" w:type="dxa"/>
            <w:tcBorders>
              <w:right w:val="none" w:sz="0" w:space="0" w:color="auto"/>
            </w:tcBorders>
          </w:tcPr>
          <w:p w14:paraId="11A7CA06" w14:textId="327A09C9" w:rsidR="006B6837" w:rsidRPr="00663B42" w:rsidRDefault="00663B42" w:rsidP="00663B42">
            <w:pPr>
              <w:rPr>
                <w:rFonts w:ascii="Open Sans" w:eastAsia="Times New Roman" w:hAnsi="Open Sans" w:cs="Open Sans"/>
                <w:b w:val="0"/>
                <w:color w:val="000000"/>
                <w:lang w:val="fr-FR" w:eastAsia="en-GB"/>
              </w:rPr>
            </w:pPr>
            <w:r w:rsidRPr="00663B42">
              <w:rPr>
                <w:b w:val="0"/>
                <w:highlight w:val="yellow"/>
                <w:lang w:val="fr-FR"/>
              </w:rPr>
              <w:t>[Dans le cas où un test d'évaluation fait partie de la tâche, ajoutez les dates spécifiques.</w:t>
            </w:r>
            <w:r w:rsidR="006B6837" w:rsidRPr="00663B42">
              <w:rPr>
                <w:b w:val="0"/>
                <w:highlight w:val="yellow"/>
                <w:lang w:val="fr-FR"/>
              </w:rPr>
              <w:t>]</w:t>
            </w:r>
          </w:p>
        </w:tc>
        <w:tc>
          <w:tcPr>
            <w:tcW w:w="1984" w:type="dxa"/>
            <w:tcBorders>
              <w:left w:val="single" w:sz="4" w:space="0" w:color="099DD7" w:themeColor="accent3"/>
              <w:right w:val="single" w:sz="4" w:space="0" w:color="099DD7" w:themeColor="accent3"/>
            </w:tcBorders>
          </w:tcPr>
          <w:p w14:paraId="6CFDF176" w14:textId="1425BB98" w:rsidR="006B6837" w:rsidRPr="00663B42" w:rsidRDefault="006B6837" w:rsidP="006B6837">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2004" w:type="dxa"/>
            <w:tcBorders>
              <w:left w:val="single" w:sz="4" w:space="0" w:color="099DD7" w:themeColor="accent3"/>
            </w:tcBorders>
          </w:tcPr>
          <w:p w14:paraId="65253F4A" w14:textId="14797FBA" w:rsidR="006B6837" w:rsidRPr="00663B42" w:rsidRDefault="006B6837" w:rsidP="006B6837">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c>
          <w:tcPr>
            <w:tcW w:w="1850" w:type="dxa"/>
            <w:tcBorders>
              <w:left w:val="single" w:sz="4" w:space="0" w:color="099DD7" w:themeColor="accent3"/>
            </w:tcBorders>
          </w:tcPr>
          <w:p w14:paraId="60F9EACC" w14:textId="102FC6B4" w:rsidR="006B6837" w:rsidRPr="00663B42" w:rsidRDefault="006B6837" w:rsidP="006B6837">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r>
    </w:tbl>
    <w:p w14:paraId="778AC488" w14:textId="62C394AC" w:rsidR="00EA03DE" w:rsidRPr="00663B42" w:rsidRDefault="00EA03DE" w:rsidP="006D0011">
      <w:pPr>
        <w:shd w:val="clear" w:color="auto" w:fill="FFFFFF"/>
        <w:spacing w:after="0" w:line="240" w:lineRule="auto"/>
        <w:rPr>
          <w:rFonts w:ascii="Open Sans" w:eastAsia="Times New Roman" w:hAnsi="Open Sans" w:cs="Open Sans"/>
          <w:color w:val="000000"/>
          <w:sz w:val="21"/>
          <w:szCs w:val="21"/>
          <w:lang w:val="fr-FR" w:eastAsia="en-GB"/>
        </w:rPr>
      </w:pPr>
    </w:p>
    <w:p w14:paraId="7EAFE082" w14:textId="3729BF30" w:rsidR="006B6837" w:rsidRPr="00663B42" w:rsidRDefault="00663B42" w:rsidP="006B6837">
      <w:pPr>
        <w:rPr>
          <w:rFonts w:ascii="Calibri" w:hAnsi="Calibri"/>
          <w:lang w:val="fr-FR"/>
        </w:rPr>
      </w:pPr>
      <w:r w:rsidRPr="00663B42">
        <w:rPr>
          <w:rFonts w:ascii="Calibri" w:hAnsi="Calibri"/>
          <w:lang w:val="fr-FR"/>
        </w:rPr>
        <w:t xml:space="preserve">Le tableau suivant donne un aperçu de la succession des différentes activités. </w:t>
      </w:r>
      <w:r w:rsidRPr="00663B42">
        <w:rPr>
          <w:rFonts w:ascii="Calibri" w:hAnsi="Calibri"/>
          <w:highlight w:val="yellow"/>
          <w:lang w:val="fr-FR"/>
        </w:rPr>
        <w:t>[</w:t>
      </w:r>
      <w:r w:rsidR="004C4A7F">
        <w:rPr>
          <w:rFonts w:ascii="Calibri" w:hAnsi="Calibri" w:cs="Calibri"/>
          <w:highlight w:val="yellow"/>
          <w:lang w:val="fr-FR"/>
        </w:rPr>
        <w:t>À</w:t>
      </w:r>
      <w:r w:rsidRPr="00663B42">
        <w:rPr>
          <w:rFonts w:ascii="Calibri" w:hAnsi="Calibri"/>
          <w:highlight w:val="yellow"/>
          <w:lang w:val="fr-FR"/>
        </w:rPr>
        <w:t xml:space="preserve"> adapter]</w:t>
      </w:r>
      <w:r w:rsidR="006B6837" w:rsidRPr="00663B42">
        <w:rPr>
          <w:rFonts w:ascii="Calibri" w:hAnsi="Calibri"/>
          <w:lang w:val="fr-FR"/>
        </w:rPr>
        <w:t xml:space="preserve">. </w:t>
      </w:r>
    </w:p>
    <w:p w14:paraId="65BC7219" w14:textId="24F1C801" w:rsidR="00EA03DE" w:rsidRPr="00663B42" w:rsidRDefault="00EA03DE" w:rsidP="006D0011">
      <w:pPr>
        <w:shd w:val="clear" w:color="auto" w:fill="FFFFFF"/>
        <w:spacing w:after="0" w:line="240" w:lineRule="auto"/>
        <w:rPr>
          <w:rFonts w:ascii="Open Sans" w:eastAsia="Times New Roman" w:hAnsi="Open Sans" w:cs="Open Sans"/>
          <w:color w:val="000000"/>
          <w:sz w:val="21"/>
          <w:szCs w:val="21"/>
          <w:lang w:val="fr-FR" w:eastAsia="en-GB"/>
        </w:rPr>
      </w:pPr>
    </w:p>
    <w:tbl>
      <w:tblPr>
        <w:tblW w:w="10201" w:type="dxa"/>
        <w:tblInd w:w="-318" w:type="dxa"/>
        <w:tblLook w:val="04A0" w:firstRow="1" w:lastRow="0" w:firstColumn="1" w:lastColumn="0" w:noHBand="0" w:noVBand="1"/>
      </w:tblPr>
      <w:tblGrid>
        <w:gridCol w:w="3061"/>
        <w:gridCol w:w="420"/>
        <w:gridCol w:w="420"/>
        <w:gridCol w:w="420"/>
        <w:gridCol w:w="420"/>
        <w:gridCol w:w="420"/>
        <w:gridCol w:w="420"/>
        <w:gridCol w:w="420"/>
        <w:gridCol w:w="420"/>
        <w:gridCol w:w="420"/>
        <w:gridCol w:w="420"/>
        <w:gridCol w:w="420"/>
        <w:gridCol w:w="420"/>
        <w:gridCol w:w="420"/>
        <w:gridCol w:w="420"/>
        <w:gridCol w:w="420"/>
        <w:gridCol w:w="420"/>
        <w:gridCol w:w="420"/>
      </w:tblGrid>
      <w:tr w:rsidR="001B0B56" w:rsidRPr="00663B42" w14:paraId="537C80AC" w14:textId="77777777" w:rsidTr="00DE3DB3">
        <w:trPr>
          <w:trHeight w:val="270"/>
        </w:trPr>
        <w:tc>
          <w:tcPr>
            <w:tcW w:w="3061" w:type="dxa"/>
            <w:tcBorders>
              <w:top w:val="nil"/>
              <w:left w:val="nil"/>
              <w:bottom w:val="nil"/>
              <w:right w:val="single" w:sz="4" w:space="0" w:color="FFFFFF" w:themeColor="background1"/>
            </w:tcBorders>
            <w:shd w:val="clear" w:color="auto" w:fill="B1B1B1" w:themeFill="text2" w:themeFillTint="66"/>
            <w:noWrap/>
            <w:vAlign w:val="center"/>
            <w:hideMark/>
          </w:tcPr>
          <w:p w14:paraId="3A8FF515" w14:textId="51D71889" w:rsidR="001B0B56" w:rsidRPr="00663B42" w:rsidRDefault="00663B42" w:rsidP="00663B42">
            <w:pPr>
              <w:spacing w:before="120" w:after="120"/>
              <w:jc w:val="center"/>
              <w:rPr>
                <w:rFonts w:eastAsia="Times New Roman" w:cstheme="minorHAnsi"/>
                <w:color w:val="000000"/>
                <w:sz w:val="20"/>
                <w:szCs w:val="20"/>
                <w:lang w:val="fr-FR" w:eastAsia="en-GB"/>
              </w:rPr>
            </w:pPr>
            <w:r w:rsidRPr="00663B42">
              <w:rPr>
                <w:rFonts w:eastAsia="Times New Roman" w:cstheme="minorHAnsi"/>
                <w:color w:val="000000"/>
                <w:sz w:val="20"/>
                <w:szCs w:val="20"/>
                <w:lang w:val="fr-FR" w:eastAsia="en-GB"/>
              </w:rPr>
              <w:t>Tâche</w:t>
            </w:r>
            <w:r w:rsidR="001B0B56" w:rsidRPr="00663B42">
              <w:rPr>
                <w:rFonts w:eastAsia="Times New Roman" w:cstheme="minorHAnsi"/>
                <w:color w:val="000000"/>
                <w:sz w:val="20"/>
                <w:szCs w:val="20"/>
                <w:lang w:val="fr-FR" w:eastAsia="en-GB"/>
              </w:rPr>
              <w:t xml:space="preserve">  /  </w:t>
            </w:r>
            <w:r w:rsidRPr="00663B42">
              <w:rPr>
                <w:rFonts w:eastAsia="Times New Roman" w:cstheme="minorHAnsi"/>
                <w:color w:val="000000"/>
                <w:sz w:val="20"/>
                <w:szCs w:val="20"/>
                <w:lang w:val="fr-FR" w:eastAsia="en-GB"/>
              </w:rPr>
              <w:t>Semaine</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FB9F694" w14:textId="77777777" w:rsidR="001B0B56" w:rsidRPr="00663B42" w:rsidRDefault="001B0B56" w:rsidP="00DE3DB3">
            <w:pPr>
              <w:spacing w:after="0"/>
              <w:jc w:val="center"/>
              <w:rPr>
                <w:rFonts w:ascii="Arial" w:eastAsia="Times New Roman" w:hAnsi="Arial" w:cs="Arial"/>
                <w:color w:val="000000"/>
                <w:sz w:val="20"/>
                <w:szCs w:val="20"/>
                <w:lang w:val="fr-FR" w:eastAsia="en-GB"/>
              </w:rPr>
            </w:pPr>
            <w:r w:rsidRPr="00663B42">
              <w:rPr>
                <w:color w:val="FFFFFF" w:themeColor="background1"/>
                <w:sz w:val="20"/>
                <w:szCs w:val="20"/>
                <w:lang w:val="fr-FR"/>
              </w:rPr>
              <w:t>1</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5C355E56"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2</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0670E987"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3</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4BBA32E"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4</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1D6FEBF6"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5</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69BC0472"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6</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6D037F93"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7</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A421567"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8</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143BD295"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9</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560A6084"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10</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67257F3E"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11</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248F5ED1"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12</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2B3543FB"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13</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57DB5AC"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14</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2AF57E2"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15</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0BCB4F1F"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16</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11A71FD2" w14:textId="77777777" w:rsidR="001B0B56" w:rsidRPr="00663B42" w:rsidRDefault="001B0B56" w:rsidP="00DE3DB3">
            <w:pPr>
              <w:spacing w:after="0"/>
              <w:jc w:val="center"/>
              <w:rPr>
                <w:color w:val="FFFFFF" w:themeColor="background1"/>
                <w:sz w:val="20"/>
                <w:szCs w:val="20"/>
                <w:lang w:val="fr-FR"/>
              </w:rPr>
            </w:pPr>
            <w:r w:rsidRPr="00663B42">
              <w:rPr>
                <w:color w:val="FFFFFF" w:themeColor="background1"/>
                <w:sz w:val="20"/>
                <w:szCs w:val="20"/>
                <w:lang w:val="fr-FR"/>
              </w:rPr>
              <w:t>17</w:t>
            </w:r>
          </w:p>
        </w:tc>
      </w:tr>
      <w:tr w:rsidR="001B0B56" w:rsidRPr="00663B42" w14:paraId="7C62E6A6" w14:textId="77777777" w:rsidTr="00DE3DB3">
        <w:trPr>
          <w:trHeight w:val="270"/>
        </w:trPr>
        <w:tc>
          <w:tcPr>
            <w:tcW w:w="3061" w:type="dxa"/>
            <w:tcBorders>
              <w:top w:val="single" w:sz="8" w:space="0" w:color="FFFFFF"/>
              <w:left w:val="single" w:sz="8" w:space="0" w:color="FFFFFF"/>
              <w:bottom w:val="single" w:sz="8" w:space="0" w:color="FFFFFF"/>
              <w:right w:val="nil"/>
            </w:tcBorders>
            <w:shd w:val="clear" w:color="000000" w:fill="099DD7"/>
            <w:vAlign w:val="center"/>
            <w:hideMark/>
          </w:tcPr>
          <w:p w14:paraId="6A6127F7" w14:textId="20EAAE78" w:rsidR="001B0B56" w:rsidRPr="00663B42" w:rsidRDefault="001B0B56" w:rsidP="00663B42">
            <w:pPr>
              <w:spacing w:after="0" w:line="240" w:lineRule="auto"/>
              <w:jc w:val="left"/>
              <w:rPr>
                <w:rFonts w:ascii="Calibri" w:eastAsia="Times New Roman" w:hAnsi="Calibri" w:cs="Calibri"/>
                <w:color w:val="FFFFFF"/>
                <w:sz w:val="20"/>
                <w:szCs w:val="20"/>
                <w:lang w:val="fr-FR" w:eastAsia="en-GB"/>
              </w:rPr>
            </w:pPr>
            <w:bookmarkStart w:id="1" w:name="RANGE!A13"/>
            <w:r w:rsidRPr="00663B42">
              <w:rPr>
                <w:rFonts w:ascii="Calibri" w:eastAsia="Times New Roman" w:hAnsi="Calibri" w:cs="Calibri"/>
                <w:color w:val="FFFFFF"/>
                <w:sz w:val="20"/>
                <w:szCs w:val="20"/>
                <w:lang w:val="fr-FR" w:eastAsia="en-GB"/>
              </w:rPr>
              <w:t>1.     Note</w:t>
            </w:r>
            <w:r w:rsidR="00663B42" w:rsidRPr="00663B42">
              <w:rPr>
                <w:rFonts w:ascii="Calibri" w:eastAsia="Times New Roman" w:hAnsi="Calibri" w:cs="Calibri"/>
                <w:color w:val="FFFFFF"/>
                <w:sz w:val="20"/>
                <w:szCs w:val="20"/>
                <w:lang w:val="fr-FR" w:eastAsia="en-GB"/>
              </w:rPr>
              <w:t xml:space="preserve"> de synthèse, Logistique</w:t>
            </w:r>
            <w:r w:rsidRPr="00663B42">
              <w:rPr>
                <w:rFonts w:ascii="Calibri" w:eastAsia="Times New Roman" w:hAnsi="Calibri" w:cs="Calibri"/>
                <w:color w:val="FFFFFF"/>
                <w:sz w:val="20"/>
                <w:szCs w:val="20"/>
                <w:lang w:val="fr-FR" w:eastAsia="en-GB"/>
              </w:rPr>
              <w:t>s</w:t>
            </w:r>
            <w:bookmarkEnd w:id="1"/>
            <w:r w:rsidRPr="00663B42">
              <w:rPr>
                <w:rStyle w:val="FootnoteReference"/>
                <w:color w:val="FFFFFF" w:themeColor="background1"/>
                <w:sz w:val="20"/>
                <w:szCs w:val="20"/>
                <w:lang w:val="fr-FR"/>
              </w:rPr>
              <w:footnoteReference w:customMarkFollows="1" w:id="5"/>
              <w:t>4</w:t>
            </w:r>
          </w:p>
        </w:tc>
        <w:tc>
          <w:tcPr>
            <w:tcW w:w="420" w:type="dxa"/>
            <w:tcBorders>
              <w:top w:val="single" w:sz="4" w:space="0" w:color="FFFFFF" w:themeColor="background1"/>
              <w:left w:val="nil"/>
              <w:bottom w:val="single" w:sz="8" w:space="0" w:color="auto"/>
              <w:right w:val="single" w:sz="8" w:space="0" w:color="auto"/>
            </w:tcBorders>
            <w:shd w:val="clear" w:color="000000" w:fill="00B050"/>
            <w:vAlign w:val="center"/>
          </w:tcPr>
          <w:p w14:paraId="2C4714A2" w14:textId="77777777" w:rsidR="001B0B56" w:rsidRPr="00663B42" w:rsidRDefault="001B0B56" w:rsidP="00DE3DB3">
            <w:pPr>
              <w:spacing w:after="0" w:line="240" w:lineRule="auto"/>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nil"/>
              <w:bottom w:val="single" w:sz="8" w:space="0" w:color="auto"/>
              <w:right w:val="nil"/>
            </w:tcBorders>
            <w:shd w:val="clear" w:color="000000" w:fill="00B050"/>
            <w:vAlign w:val="center"/>
          </w:tcPr>
          <w:p w14:paraId="3DEF65E4"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2424A9E8"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2D96E719"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112C7E4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72F6301A"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69A0575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4744B027"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31269D70"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3172A04A"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157BFF1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50F6D945"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28FA0ED3"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1C177791"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4B52B105"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3E5DE143"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4" w:space="0" w:color="FFFFFF" w:themeColor="background1"/>
              <w:left w:val="single" w:sz="8" w:space="0" w:color="auto"/>
              <w:bottom w:val="single" w:sz="8" w:space="0" w:color="auto"/>
              <w:right w:val="single" w:sz="4" w:space="0" w:color="auto"/>
            </w:tcBorders>
            <w:shd w:val="clear" w:color="auto" w:fill="auto"/>
            <w:vAlign w:val="center"/>
          </w:tcPr>
          <w:p w14:paraId="32979604"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r>
      <w:tr w:rsidR="001B0B56" w:rsidRPr="00663B42" w14:paraId="3B4D858A"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79376E47" w14:textId="06A7CD0F" w:rsidR="001B0B56" w:rsidRPr="00663B42" w:rsidRDefault="001B0B56" w:rsidP="00663B42">
            <w:pPr>
              <w:spacing w:after="0" w:line="240" w:lineRule="auto"/>
              <w:jc w:val="left"/>
              <w:rPr>
                <w:rFonts w:ascii="Calibri" w:eastAsia="Times New Roman" w:hAnsi="Calibri" w:cs="Calibri"/>
                <w:color w:val="FFFFFF"/>
                <w:sz w:val="20"/>
                <w:szCs w:val="20"/>
                <w:lang w:val="fr-FR" w:eastAsia="en-GB"/>
              </w:rPr>
            </w:pPr>
            <w:r w:rsidRPr="00663B42">
              <w:rPr>
                <w:rFonts w:ascii="Calibri" w:eastAsia="Times New Roman" w:hAnsi="Calibri" w:cs="Calibri"/>
                <w:color w:val="FFFFFF"/>
                <w:sz w:val="20"/>
                <w:szCs w:val="20"/>
                <w:lang w:val="fr-FR" w:eastAsia="en-GB"/>
              </w:rPr>
              <w:t>2.</w:t>
            </w:r>
            <w:r w:rsidRPr="00663B42">
              <w:rPr>
                <w:rFonts w:ascii="Times New Roman" w:eastAsia="Times New Roman" w:hAnsi="Times New Roman" w:cs="Times New Roman"/>
                <w:color w:val="FFFFFF"/>
                <w:sz w:val="14"/>
                <w:szCs w:val="14"/>
                <w:lang w:val="fr-FR" w:eastAsia="en-GB"/>
              </w:rPr>
              <w:t xml:space="preserve">     </w:t>
            </w:r>
            <w:r w:rsidR="00663B42" w:rsidRPr="00663B42">
              <w:rPr>
                <w:rFonts w:ascii="Calibri" w:eastAsia="Times New Roman" w:hAnsi="Calibri" w:cs="Calibri"/>
                <w:color w:val="FFFFFF"/>
                <w:sz w:val="20"/>
                <w:szCs w:val="20"/>
                <w:lang w:val="fr-FR" w:eastAsia="en-GB"/>
              </w:rPr>
              <w:t>Analyse contextuelle du pays</w:t>
            </w:r>
          </w:p>
        </w:tc>
        <w:tc>
          <w:tcPr>
            <w:tcW w:w="420" w:type="dxa"/>
            <w:tcBorders>
              <w:top w:val="nil"/>
              <w:left w:val="nil"/>
              <w:bottom w:val="single" w:sz="8" w:space="0" w:color="auto"/>
              <w:right w:val="single" w:sz="8" w:space="0" w:color="auto"/>
            </w:tcBorders>
            <w:shd w:val="clear" w:color="auto" w:fill="auto"/>
            <w:vAlign w:val="center"/>
          </w:tcPr>
          <w:p w14:paraId="5E8EA349" w14:textId="77777777" w:rsidR="001B0B56" w:rsidRPr="00663B42" w:rsidRDefault="001B0B56" w:rsidP="00DE3DB3">
            <w:pPr>
              <w:spacing w:after="0" w:line="240" w:lineRule="auto"/>
              <w:rPr>
                <w:rFonts w:ascii="Calibri" w:eastAsia="Times New Roman" w:hAnsi="Calibri" w:cs="Calibri"/>
                <w:color w:val="3C3C3C"/>
                <w:sz w:val="20"/>
                <w:szCs w:val="20"/>
                <w:lang w:val="fr-FR" w:eastAsia="en-GB"/>
              </w:rPr>
            </w:pPr>
          </w:p>
        </w:tc>
        <w:tc>
          <w:tcPr>
            <w:tcW w:w="420" w:type="dxa"/>
            <w:tcBorders>
              <w:top w:val="nil"/>
              <w:left w:val="nil"/>
              <w:bottom w:val="single" w:sz="8" w:space="0" w:color="auto"/>
              <w:right w:val="nil"/>
            </w:tcBorders>
            <w:shd w:val="clear" w:color="auto" w:fill="auto"/>
            <w:vAlign w:val="center"/>
          </w:tcPr>
          <w:p w14:paraId="211B0D59"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25DBE367"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FAFB89C"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134A42D8"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2F309D9"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60CD9835"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4A5502F1"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A5EC1A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6037DEE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A706AA9"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5B8CE8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DD8EC69"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45F25548"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CBE7C8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2BC2AEC"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77C77E84"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r>
      <w:tr w:rsidR="001B0B56" w:rsidRPr="00663B42" w14:paraId="38FA0DC6"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2808D514" w14:textId="5244DF96" w:rsidR="001B0B56" w:rsidRPr="00663B42" w:rsidRDefault="001B0B56" w:rsidP="00DE3DB3">
            <w:pPr>
              <w:spacing w:after="0" w:line="240" w:lineRule="auto"/>
              <w:jc w:val="left"/>
              <w:rPr>
                <w:rFonts w:ascii="Calibri" w:eastAsia="Times New Roman" w:hAnsi="Calibri" w:cs="Calibri"/>
                <w:color w:val="FFFFFF"/>
                <w:sz w:val="20"/>
                <w:szCs w:val="20"/>
                <w:lang w:val="fr-FR" w:eastAsia="en-GB"/>
              </w:rPr>
            </w:pPr>
            <w:r w:rsidRPr="00663B42">
              <w:rPr>
                <w:rFonts w:ascii="Calibri" w:eastAsia="Times New Roman" w:hAnsi="Calibri" w:cs="Calibri"/>
                <w:color w:val="FFFFFF"/>
                <w:sz w:val="20"/>
                <w:szCs w:val="20"/>
                <w:lang w:val="fr-FR" w:eastAsia="en-GB"/>
              </w:rPr>
              <w:t>3.</w:t>
            </w:r>
            <w:r w:rsidRPr="00663B42">
              <w:rPr>
                <w:rFonts w:ascii="Times New Roman" w:eastAsia="Times New Roman" w:hAnsi="Times New Roman" w:cs="Times New Roman"/>
                <w:color w:val="FFFFFF"/>
                <w:sz w:val="14"/>
                <w:szCs w:val="14"/>
                <w:lang w:val="fr-FR" w:eastAsia="en-GB"/>
              </w:rPr>
              <w:t xml:space="preserve">     </w:t>
            </w:r>
            <w:r w:rsidR="00663B42" w:rsidRPr="00663B42">
              <w:rPr>
                <w:rFonts w:ascii="Calibri" w:eastAsia="Times New Roman" w:hAnsi="Calibri" w:cs="Calibri"/>
                <w:color w:val="FFFFFF"/>
                <w:sz w:val="20"/>
                <w:szCs w:val="20"/>
                <w:lang w:val="fr-FR" w:eastAsia="en-GB"/>
              </w:rPr>
              <w:t>Évaluation : Collecte des données</w:t>
            </w:r>
          </w:p>
        </w:tc>
        <w:tc>
          <w:tcPr>
            <w:tcW w:w="420" w:type="dxa"/>
            <w:tcBorders>
              <w:top w:val="nil"/>
              <w:left w:val="nil"/>
              <w:bottom w:val="single" w:sz="8" w:space="0" w:color="auto"/>
              <w:right w:val="single" w:sz="8" w:space="0" w:color="auto"/>
            </w:tcBorders>
            <w:shd w:val="clear" w:color="auto" w:fill="auto"/>
            <w:vAlign w:val="center"/>
          </w:tcPr>
          <w:p w14:paraId="75E320DA" w14:textId="77777777" w:rsidR="001B0B56" w:rsidRPr="00663B42" w:rsidRDefault="001B0B56" w:rsidP="00DE3DB3">
            <w:pPr>
              <w:spacing w:after="0" w:line="240" w:lineRule="auto"/>
              <w:rPr>
                <w:rFonts w:ascii="Calibri" w:eastAsia="Times New Roman" w:hAnsi="Calibri" w:cs="Calibri"/>
                <w:color w:val="3C3C3C"/>
                <w:sz w:val="20"/>
                <w:szCs w:val="20"/>
                <w:lang w:val="fr-FR" w:eastAsia="en-GB"/>
              </w:rPr>
            </w:pPr>
          </w:p>
        </w:tc>
        <w:tc>
          <w:tcPr>
            <w:tcW w:w="420" w:type="dxa"/>
            <w:tcBorders>
              <w:top w:val="nil"/>
              <w:left w:val="nil"/>
              <w:bottom w:val="single" w:sz="8" w:space="0" w:color="auto"/>
              <w:right w:val="nil"/>
            </w:tcBorders>
            <w:shd w:val="clear" w:color="auto" w:fill="auto"/>
            <w:vAlign w:val="center"/>
          </w:tcPr>
          <w:p w14:paraId="25703B11"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5D96B5F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79D0C1AA"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58A28247"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6D6CD0C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02936813"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6C0C507B"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F7865A4"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8DFFECC"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043EB71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503E00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0B63620"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9472B7C"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1A5C274A"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C5C034B"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50F7440A"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r>
      <w:tr w:rsidR="001B0B56" w:rsidRPr="00663B42" w14:paraId="4CC3CD32"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6BEF2C1C" w14:textId="2DE5E878" w:rsidR="001B0B56" w:rsidRPr="00663B42" w:rsidRDefault="001B0B56" w:rsidP="00663B42">
            <w:pPr>
              <w:spacing w:after="0" w:line="240" w:lineRule="auto"/>
              <w:jc w:val="left"/>
              <w:rPr>
                <w:rFonts w:ascii="Calibri" w:eastAsia="Times New Roman" w:hAnsi="Calibri" w:cs="Calibri"/>
                <w:color w:val="FFFFFF"/>
                <w:sz w:val="20"/>
                <w:szCs w:val="20"/>
                <w:lang w:val="fr-FR" w:eastAsia="en-GB"/>
              </w:rPr>
            </w:pPr>
            <w:r w:rsidRPr="00663B42">
              <w:rPr>
                <w:rFonts w:ascii="Calibri" w:eastAsia="Times New Roman" w:hAnsi="Calibri" w:cs="Calibri"/>
                <w:color w:val="FFFFFF"/>
                <w:sz w:val="20"/>
                <w:szCs w:val="20"/>
                <w:lang w:val="fr-FR" w:eastAsia="en-GB"/>
              </w:rPr>
              <w:t>4.</w:t>
            </w:r>
            <w:r w:rsidRPr="00663B42">
              <w:rPr>
                <w:rFonts w:ascii="Times New Roman" w:eastAsia="Times New Roman" w:hAnsi="Times New Roman" w:cs="Times New Roman"/>
                <w:color w:val="FFFFFF"/>
                <w:sz w:val="14"/>
                <w:szCs w:val="14"/>
                <w:lang w:val="fr-FR" w:eastAsia="en-GB"/>
              </w:rPr>
              <w:t xml:space="preserve">     </w:t>
            </w:r>
            <w:r w:rsidR="00663B42" w:rsidRPr="00663B42">
              <w:rPr>
                <w:rFonts w:ascii="Calibri" w:eastAsia="Times New Roman" w:hAnsi="Calibri" w:cs="Calibri"/>
                <w:color w:val="FFFFFF"/>
                <w:sz w:val="20"/>
                <w:szCs w:val="20"/>
                <w:lang w:val="fr-FR" w:eastAsia="en-GB"/>
              </w:rPr>
              <w:t>Évaluation</w:t>
            </w:r>
            <w:r w:rsidRPr="00663B42">
              <w:rPr>
                <w:rFonts w:ascii="Calibri" w:eastAsia="Times New Roman" w:hAnsi="Calibri" w:cs="Calibri"/>
                <w:color w:val="FFFFFF"/>
                <w:sz w:val="20"/>
                <w:szCs w:val="20"/>
                <w:lang w:val="fr-FR" w:eastAsia="en-GB"/>
              </w:rPr>
              <w:t>: Analys</w:t>
            </w:r>
            <w:r w:rsidR="00663B42" w:rsidRPr="00663B42">
              <w:rPr>
                <w:rFonts w:ascii="Calibri" w:eastAsia="Times New Roman" w:hAnsi="Calibri" w:cs="Calibri"/>
                <w:color w:val="FFFFFF"/>
                <w:sz w:val="20"/>
                <w:szCs w:val="20"/>
                <w:lang w:val="fr-FR" w:eastAsia="en-GB"/>
              </w:rPr>
              <w:t xml:space="preserve">e </w:t>
            </w:r>
            <w:r w:rsidRPr="00663B42">
              <w:rPr>
                <w:rFonts w:ascii="Calibri" w:eastAsia="Times New Roman" w:hAnsi="Calibri" w:cs="Calibri"/>
                <w:color w:val="FFFFFF"/>
                <w:sz w:val="20"/>
                <w:szCs w:val="20"/>
                <w:lang w:val="fr-FR" w:eastAsia="en-GB"/>
              </w:rPr>
              <w:t>(</w:t>
            </w:r>
            <w:r w:rsidR="00663B42" w:rsidRPr="00663B42">
              <w:rPr>
                <w:rFonts w:ascii="Calibri" w:eastAsia="Times New Roman" w:hAnsi="Calibri" w:cs="Calibri"/>
                <w:color w:val="FFFFFF"/>
                <w:sz w:val="20"/>
                <w:szCs w:val="20"/>
                <w:lang w:val="fr-FR" w:eastAsia="en-GB"/>
              </w:rPr>
              <w:t>en3 étapes</w:t>
            </w:r>
            <w:r w:rsidRPr="00663B42">
              <w:rPr>
                <w:rFonts w:ascii="Calibri" w:eastAsia="Times New Roman" w:hAnsi="Calibri" w:cs="Calibri"/>
                <w:color w:val="FFFFFF"/>
                <w:sz w:val="20"/>
                <w:szCs w:val="20"/>
                <w:lang w:val="fr-FR" w:eastAsia="en-GB"/>
              </w:rPr>
              <w:t>)</w:t>
            </w:r>
          </w:p>
        </w:tc>
        <w:tc>
          <w:tcPr>
            <w:tcW w:w="420" w:type="dxa"/>
            <w:tcBorders>
              <w:top w:val="nil"/>
              <w:left w:val="nil"/>
              <w:bottom w:val="single" w:sz="8" w:space="0" w:color="auto"/>
              <w:right w:val="single" w:sz="8" w:space="0" w:color="auto"/>
            </w:tcBorders>
            <w:shd w:val="clear" w:color="auto" w:fill="auto"/>
            <w:vAlign w:val="center"/>
          </w:tcPr>
          <w:p w14:paraId="517C1D71" w14:textId="77777777" w:rsidR="001B0B56" w:rsidRPr="00663B42" w:rsidRDefault="001B0B56" w:rsidP="00DE3DB3">
            <w:pPr>
              <w:spacing w:after="0" w:line="240" w:lineRule="auto"/>
              <w:rPr>
                <w:rFonts w:ascii="Calibri" w:eastAsia="Times New Roman" w:hAnsi="Calibri" w:cs="Calibri"/>
                <w:color w:val="3C3C3C"/>
                <w:sz w:val="20"/>
                <w:szCs w:val="20"/>
                <w:lang w:val="fr-FR" w:eastAsia="en-GB"/>
              </w:rPr>
            </w:pPr>
          </w:p>
        </w:tc>
        <w:tc>
          <w:tcPr>
            <w:tcW w:w="420" w:type="dxa"/>
            <w:tcBorders>
              <w:top w:val="nil"/>
              <w:left w:val="nil"/>
              <w:bottom w:val="single" w:sz="8" w:space="0" w:color="auto"/>
              <w:right w:val="nil"/>
            </w:tcBorders>
            <w:shd w:val="clear" w:color="auto" w:fill="auto"/>
            <w:vAlign w:val="center"/>
          </w:tcPr>
          <w:p w14:paraId="218247DA"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1E0B3AD5"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FDCBF8B"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42ACF9E2"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00FB2A6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3E962F9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22ADB2D1"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CB1C8E0"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4B74281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4233F2B8"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DF3654B"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D81D007"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81677F4"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104BC8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DC2898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0B22AFED"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r>
      <w:tr w:rsidR="001B0B56" w:rsidRPr="00663B42" w14:paraId="498A9847"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0EA3D68D" w14:textId="63B79FA7" w:rsidR="001B0B56" w:rsidRPr="00663B42" w:rsidRDefault="001B0B56" w:rsidP="00663B42">
            <w:pPr>
              <w:spacing w:after="0" w:line="240" w:lineRule="auto"/>
              <w:jc w:val="left"/>
              <w:rPr>
                <w:rFonts w:ascii="Calibri" w:eastAsia="Times New Roman" w:hAnsi="Calibri" w:cs="Calibri"/>
                <w:color w:val="FFFFFF"/>
                <w:sz w:val="20"/>
                <w:szCs w:val="20"/>
                <w:lang w:val="fr-FR" w:eastAsia="en-GB"/>
              </w:rPr>
            </w:pPr>
            <w:r w:rsidRPr="00663B42">
              <w:rPr>
                <w:rFonts w:ascii="Calibri" w:eastAsia="Times New Roman" w:hAnsi="Calibri" w:cs="Calibri"/>
                <w:color w:val="FFFFFF"/>
                <w:sz w:val="20"/>
                <w:szCs w:val="20"/>
                <w:lang w:val="fr-FR" w:eastAsia="en-GB"/>
              </w:rPr>
              <w:t>5.</w:t>
            </w:r>
            <w:r w:rsidRPr="00663B42">
              <w:rPr>
                <w:rFonts w:ascii="Times New Roman" w:eastAsia="Times New Roman" w:hAnsi="Times New Roman" w:cs="Times New Roman"/>
                <w:color w:val="FFFFFF"/>
                <w:sz w:val="14"/>
                <w:szCs w:val="14"/>
                <w:lang w:val="fr-FR" w:eastAsia="en-GB"/>
              </w:rPr>
              <w:t xml:space="preserve">     </w:t>
            </w:r>
            <w:r w:rsidRPr="00663B42">
              <w:rPr>
                <w:rFonts w:ascii="Calibri" w:eastAsia="Times New Roman" w:hAnsi="Calibri" w:cs="Calibri"/>
                <w:color w:val="FFFFFF"/>
                <w:sz w:val="20"/>
                <w:szCs w:val="20"/>
                <w:lang w:val="fr-FR" w:eastAsia="en-GB"/>
              </w:rPr>
              <w:t>Recomm</w:t>
            </w:r>
            <w:r w:rsidR="00663B42" w:rsidRPr="00663B42">
              <w:rPr>
                <w:rFonts w:ascii="Calibri" w:eastAsia="Times New Roman" w:hAnsi="Calibri" w:cs="Calibri"/>
                <w:color w:val="FFFFFF"/>
                <w:sz w:val="20"/>
                <w:szCs w:val="20"/>
                <w:lang w:val="fr-FR" w:eastAsia="en-GB"/>
              </w:rPr>
              <w:t>a</w:t>
            </w:r>
            <w:r w:rsidRPr="00663B42">
              <w:rPr>
                <w:rFonts w:ascii="Calibri" w:eastAsia="Times New Roman" w:hAnsi="Calibri" w:cs="Calibri"/>
                <w:color w:val="FFFFFF"/>
                <w:sz w:val="20"/>
                <w:szCs w:val="20"/>
                <w:lang w:val="fr-FR" w:eastAsia="en-GB"/>
              </w:rPr>
              <w:t>ndations</w:t>
            </w:r>
          </w:p>
        </w:tc>
        <w:tc>
          <w:tcPr>
            <w:tcW w:w="420" w:type="dxa"/>
            <w:tcBorders>
              <w:top w:val="nil"/>
              <w:left w:val="nil"/>
              <w:bottom w:val="single" w:sz="8" w:space="0" w:color="auto"/>
              <w:right w:val="single" w:sz="8" w:space="0" w:color="auto"/>
            </w:tcBorders>
            <w:shd w:val="clear" w:color="auto" w:fill="auto"/>
            <w:vAlign w:val="center"/>
          </w:tcPr>
          <w:p w14:paraId="3E6A9B77" w14:textId="77777777" w:rsidR="001B0B56" w:rsidRPr="00663B42" w:rsidRDefault="001B0B56" w:rsidP="00DE3DB3">
            <w:pPr>
              <w:spacing w:after="0" w:line="240" w:lineRule="auto"/>
              <w:rPr>
                <w:rFonts w:ascii="Calibri" w:eastAsia="Times New Roman" w:hAnsi="Calibri" w:cs="Calibri"/>
                <w:color w:val="3C3C3C"/>
                <w:sz w:val="20"/>
                <w:szCs w:val="20"/>
                <w:lang w:val="fr-FR" w:eastAsia="en-GB"/>
              </w:rPr>
            </w:pPr>
          </w:p>
        </w:tc>
        <w:tc>
          <w:tcPr>
            <w:tcW w:w="420" w:type="dxa"/>
            <w:tcBorders>
              <w:top w:val="nil"/>
              <w:left w:val="nil"/>
              <w:bottom w:val="single" w:sz="8" w:space="0" w:color="auto"/>
              <w:right w:val="nil"/>
            </w:tcBorders>
            <w:shd w:val="clear" w:color="auto" w:fill="auto"/>
            <w:vAlign w:val="center"/>
          </w:tcPr>
          <w:p w14:paraId="1ADAFF92"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E8B479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04798D2"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5BE8601"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927CCC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6E79DD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EA05AF7"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58CE7F62"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04F9C1A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C86B81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7526DA7"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10458B31"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6F9A360"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41FD8C24"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6F61AF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1A765AEB"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r>
      <w:tr w:rsidR="001B0B56" w:rsidRPr="00663B42" w14:paraId="787CFFFA"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6500AA64" w14:textId="77777777" w:rsidR="001B0B56" w:rsidRPr="00663B42" w:rsidRDefault="001B0B56" w:rsidP="00DE3DB3">
            <w:pPr>
              <w:spacing w:after="0" w:line="240" w:lineRule="auto"/>
              <w:jc w:val="left"/>
              <w:rPr>
                <w:rFonts w:ascii="Calibri" w:eastAsia="Times New Roman" w:hAnsi="Calibri" w:cs="Calibri"/>
                <w:color w:val="FFFFFF"/>
                <w:sz w:val="20"/>
                <w:szCs w:val="20"/>
                <w:lang w:val="fr-FR" w:eastAsia="en-GB"/>
              </w:rPr>
            </w:pPr>
            <w:r w:rsidRPr="00663B42">
              <w:rPr>
                <w:rFonts w:ascii="Calibri" w:eastAsia="Times New Roman" w:hAnsi="Calibri" w:cs="Calibri"/>
                <w:color w:val="FFFFFF"/>
                <w:sz w:val="20"/>
                <w:szCs w:val="20"/>
                <w:lang w:val="fr-FR" w:eastAsia="en-GB"/>
              </w:rPr>
              <w:t>6.</w:t>
            </w:r>
            <w:r w:rsidRPr="00663B42">
              <w:rPr>
                <w:rFonts w:ascii="Times New Roman" w:eastAsia="Times New Roman" w:hAnsi="Times New Roman" w:cs="Times New Roman"/>
                <w:color w:val="FFFFFF"/>
                <w:sz w:val="14"/>
                <w:szCs w:val="14"/>
                <w:lang w:val="fr-FR" w:eastAsia="en-GB"/>
              </w:rPr>
              <w:t xml:space="preserve">     </w:t>
            </w:r>
            <w:r w:rsidRPr="00663B42">
              <w:rPr>
                <w:rFonts w:ascii="Calibri" w:eastAsia="Times New Roman" w:hAnsi="Calibri" w:cs="Calibri"/>
                <w:color w:val="FFFFFF"/>
                <w:sz w:val="20"/>
                <w:szCs w:val="20"/>
                <w:lang w:val="fr-FR" w:eastAsia="en-GB"/>
              </w:rPr>
              <w:t>Validation</w:t>
            </w:r>
          </w:p>
        </w:tc>
        <w:tc>
          <w:tcPr>
            <w:tcW w:w="420" w:type="dxa"/>
            <w:tcBorders>
              <w:top w:val="nil"/>
              <w:left w:val="nil"/>
              <w:bottom w:val="single" w:sz="8" w:space="0" w:color="auto"/>
              <w:right w:val="single" w:sz="8" w:space="0" w:color="auto"/>
            </w:tcBorders>
            <w:shd w:val="clear" w:color="auto" w:fill="auto"/>
            <w:vAlign w:val="center"/>
          </w:tcPr>
          <w:p w14:paraId="6595ACEC" w14:textId="77777777" w:rsidR="001B0B56" w:rsidRPr="00663B42" w:rsidRDefault="001B0B56" w:rsidP="00DE3DB3">
            <w:pPr>
              <w:spacing w:after="0" w:line="240" w:lineRule="auto"/>
              <w:rPr>
                <w:rFonts w:ascii="Calibri" w:eastAsia="Times New Roman" w:hAnsi="Calibri" w:cs="Calibri"/>
                <w:color w:val="3C3C3C"/>
                <w:sz w:val="20"/>
                <w:szCs w:val="20"/>
                <w:lang w:val="fr-FR" w:eastAsia="en-GB"/>
              </w:rPr>
            </w:pPr>
          </w:p>
        </w:tc>
        <w:tc>
          <w:tcPr>
            <w:tcW w:w="420" w:type="dxa"/>
            <w:tcBorders>
              <w:top w:val="nil"/>
              <w:left w:val="nil"/>
              <w:bottom w:val="single" w:sz="8" w:space="0" w:color="auto"/>
              <w:right w:val="nil"/>
            </w:tcBorders>
            <w:shd w:val="clear" w:color="auto" w:fill="auto"/>
            <w:vAlign w:val="center"/>
          </w:tcPr>
          <w:p w14:paraId="3A17B778"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AE6595A"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1FE949C"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0E97E005"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379CDE5"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2DCBF3B"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09A109C9"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0201253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00FD3D25"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0E1F749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67C8552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0B78C9B8"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3DF5523"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19D1E98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4F869E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6904CEC3"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r>
      <w:tr w:rsidR="001B0B56" w:rsidRPr="00663B42" w14:paraId="18D2892B"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6E7524A9" w14:textId="699924DD" w:rsidR="001B0B56" w:rsidRPr="00663B42" w:rsidRDefault="001B0B56" w:rsidP="00663B42">
            <w:pPr>
              <w:spacing w:after="0" w:line="240" w:lineRule="auto"/>
              <w:jc w:val="left"/>
              <w:rPr>
                <w:rFonts w:ascii="Calibri" w:eastAsia="Times New Roman" w:hAnsi="Calibri" w:cs="Calibri"/>
                <w:color w:val="FFFFFF"/>
                <w:sz w:val="20"/>
                <w:szCs w:val="20"/>
                <w:lang w:val="fr-FR" w:eastAsia="en-GB"/>
              </w:rPr>
            </w:pPr>
            <w:r w:rsidRPr="00663B42">
              <w:rPr>
                <w:rFonts w:ascii="Calibri" w:eastAsia="Times New Roman" w:hAnsi="Calibri" w:cs="Calibri"/>
                <w:color w:val="FFFFFF"/>
                <w:sz w:val="20"/>
                <w:szCs w:val="20"/>
                <w:lang w:val="fr-FR" w:eastAsia="en-GB"/>
              </w:rPr>
              <w:t>7.</w:t>
            </w:r>
            <w:r w:rsidRPr="00663B42">
              <w:rPr>
                <w:rFonts w:ascii="Times New Roman" w:eastAsia="Times New Roman" w:hAnsi="Times New Roman" w:cs="Times New Roman"/>
                <w:color w:val="FFFFFF"/>
                <w:sz w:val="14"/>
                <w:szCs w:val="14"/>
                <w:lang w:val="fr-FR" w:eastAsia="en-GB"/>
              </w:rPr>
              <w:t xml:space="preserve">     </w:t>
            </w:r>
            <w:r w:rsidR="00663B42" w:rsidRPr="00663B42">
              <w:rPr>
                <w:rFonts w:ascii="Calibri" w:eastAsia="Times New Roman" w:hAnsi="Calibri" w:cs="Calibri"/>
                <w:color w:val="FFFFFF"/>
                <w:sz w:val="20"/>
                <w:szCs w:val="20"/>
                <w:lang w:val="fr-FR" w:eastAsia="en-GB"/>
              </w:rPr>
              <w:t>Rédaction du ra</w:t>
            </w:r>
            <w:r w:rsidRPr="00663B42">
              <w:rPr>
                <w:rFonts w:ascii="Calibri" w:eastAsia="Times New Roman" w:hAnsi="Calibri" w:cs="Calibri"/>
                <w:color w:val="FFFFFF"/>
                <w:sz w:val="20"/>
                <w:szCs w:val="20"/>
                <w:lang w:val="fr-FR" w:eastAsia="en-GB"/>
              </w:rPr>
              <w:t>p</w:t>
            </w:r>
            <w:r w:rsidR="00663B42" w:rsidRPr="00663B42">
              <w:rPr>
                <w:rFonts w:ascii="Calibri" w:eastAsia="Times New Roman" w:hAnsi="Calibri" w:cs="Calibri"/>
                <w:color w:val="FFFFFF"/>
                <w:sz w:val="20"/>
                <w:szCs w:val="20"/>
                <w:lang w:val="fr-FR" w:eastAsia="en-GB"/>
              </w:rPr>
              <w:t>p</w:t>
            </w:r>
            <w:r w:rsidRPr="00663B42">
              <w:rPr>
                <w:rFonts w:ascii="Calibri" w:eastAsia="Times New Roman" w:hAnsi="Calibri" w:cs="Calibri"/>
                <w:color w:val="FFFFFF"/>
                <w:sz w:val="20"/>
                <w:szCs w:val="20"/>
                <w:lang w:val="fr-FR" w:eastAsia="en-GB"/>
              </w:rPr>
              <w:t>ort</w:t>
            </w:r>
          </w:p>
        </w:tc>
        <w:tc>
          <w:tcPr>
            <w:tcW w:w="420" w:type="dxa"/>
            <w:tcBorders>
              <w:top w:val="nil"/>
              <w:left w:val="nil"/>
              <w:bottom w:val="single" w:sz="8" w:space="0" w:color="auto"/>
              <w:right w:val="single" w:sz="8" w:space="0" w:color="auto"/>
            </w:tcBorders>
            <w:shd w:val="clear" w:color="auto" w:fill="auto"/>
            <w:vAlign w:val="center"/>
          </w:tcPr>
          <w:p w14:paraId="1F0C5791" w14:textId="77777777" w:rsidR="001B0B56" w:rsidRPr="00663B42" w:rsidRDefault="001B0B56" w:rsidP="00DE3DB3">
            <w:pPr>
              <w:spacing w:after="0" w:line="240" w:lineRule="auto"/>
              <w:rPr>
                <w:rFonts w:ascii="Calibri" w:eastAsia="Times New Roman" w:hAnsi="Calibri" w:cs="Calibri"/>
                <w:color w:val="3C3C3C"/>
                <w:sz w:val="20"/>
                <w:szCs w:val="20"/>
                <w:lang w:val="fr-FR" w:eastAsia="en-GB"/>
              </w:rPr>
            </w:pPr>
          </w:p>
        </w:tc>
        <w:tc>
          <w:tcPr>
            <w:tcW w:w="420" w:type="dxa"/>
            <w:tcBorders>
              <w:top w:val="nil"/>
              <w:left w:val="nil"/>
              <w:bottom w:val="single" w:sz="8" w:space="0" w:color="auto"/>
              <w:right w:val="nil"/>
            </w:tcBorders>
            <w:shd w:val="clear" w:color="auto" w:fill="auto"/>
            <w:vAlign w:val="center"/>
          </w:tcPr>
          <w:p w14:paraId="37880601"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85B3445"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DF1281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079BB8ED"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C1202E8"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A0681E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46B366D8"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6B7D4F12"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414F673D"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1E387930"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778DDABC"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180D5643"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2B2F479"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6599F4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74007B0"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5E73BAC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r>
      <w:tr w:rsidR="001B0B56" w:rsidRPr="001332B9" w14:paraId="75549530"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5FE4F4A9" w14:textId="070A61C9" w:rsidR="001B0B56" w:rsidRPr="00663B42" w:rsidRDefault="001B0B56" w:rsidP="00663B42">
            <w:pPr>
              <w:spacing w:after="0" w:line="240" w:lineRule="auto"/>
              <w:jc w:val="left"/>
              <w:rPr>
                <w:rFonts w:ascii="Calibri" w:eastAsia="Times New Roman" w:hAnsi="Calibri" w:cs="Calibri"/>
                <w:color w:val="FFFFFF"/>
                <w:sz w:val="20"/>
                <w:szCs w:val="20"/>
                <w:lang w:val="fr-FR" w:eastAsia="en-GB"/>
              </w:rPr>
            </w:pPr>
            <w:r w:rsidRPr="00663B42">
              <w:rPr>
                <w:rFonts w:ascii="Calibri" w:eastAsia="Times New Roman" w:hAnsi="Calibri" w:cs="Calibri"/>
                <w:color w:val="FFFFFF"/>
                <w:sz w:val="20"/>
                <w:szCs w:val="20"/>
                <w:lang w:val="fr-FR" w:eastAsia="en-GB"/>
              </w:rPr>
              <w:t>8.</w:t>
            </w:r>
            <w:r w:rsidRPr="00663B42">
              <w:rPr>
                <w:rFonts w:ascii="Times New Roman" w:eastAsia="Times New Roman" w:hAnsi="Times New Roman" w:cs="Times New Roman"/>
                <w:color w:val="FFFFFF"/>
                <w:sz w:val="14"/>
                <w:szCs w:val="14"/>
                <w:lang w:val="fr-FR" w:eastAsia="en-GB"/>
              </w:rPr>
              <w:t xml:space="preserve">     </w:t>
            </w:r>
            <w:r w:rsidR="00663B42" w:rsidRPr="00663B42">
              <w:rPr>
                <w:rFonts w:ascii="Calibri" w:eastAsia="Times New Roman" w:hAnsi="Calibri" w:cs="Calibri"/>
                <w:color w:val="FFFFFF"/>
                <w:sz w:val="20"/>
                <w:szCs w:val="20"/>
                <w:lang w:val="fr-FR" w:eastAsia="en-GB"/>
              </w:rPr>
              <w:t>Assurance-qualité de la MAPS</w:t>
            </w:r>
          </w:p>
        </w:tc>
        <w:tc>
          <w:tcPr>
            <w:tcW w:w="420" w:type="dxa"/>
            <w:tcBorders>
              <w:top w:val="nil"/>
              <w:left w:val="nil"/>
              <w:bottom w:val="single" w:sz="8" w:space="0" w:color="auto"/>
              <w:right w:val="single" w:sz="8" w:space="0" w:color="auto"/>
            </w:tcBorders>
            <w:shd w:val="clear" w:color="auto" w:fill="auto"/>
            <w:vAlign w:val="center"/>
          </w:tcPr>
          <w:p w14:paraId="6D8AE084" w14:textId="77777777" w:rsidR="001B0B56" w:rsidRPr="00663B42" w:rsidRDefault="001B0B56" w:rsidP="00DE3DB3">
            <w:pPr>
              <w:spacing w:after="0" w:line="240" w:lineRule="auto"/>
              <w:rPr>
                <w:rFonts w:ascii="Calibri" w:eastAsia="Times New Roman" w:hAnsi="Calibri" w:cs="Calibri"/>
                <w:color w:val="3C3C3C"/>
                <w:sz w:val="20"/>
                <w:szCs w:val="20"/>
                <w:lang w:val="fr-FR" w:eastAsia="en-GB"/>
              </w:rPr>
            </w:pPr>
          </w:p>
        </w:tc>
        <w:tc>
          <w:tcPr>
            <w:tcW w:w="420" w:type="dxa"/>
            <w:tcBorders>
              <w:top w:val="nil"/>
              <w:left w:val="nil"/>
              <w:bottom w:val="single" w:sz="8" w:space="0" w:color="auto"/>
              <w:right w:val="nil"/>
            </w:tcBorders>
            <w:shd w:val="clear" w:color="auto" w:fill="auto"/>
            <w:vAlign w:val="center"/>
          </w:tcPr>
          <w:p w14:paraId="03D42217"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C2C82D3"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2A3DAE0"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310B7E3"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636B6A9C"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2AE5D949"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4ECD8D9A"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EBE1CB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1E61900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1FDEF858"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47EA0A5B"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89C1C59"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17F873A0"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31788D2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78CCDF32"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669B77EC"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r>
      <w:tr w:rsidR="001B0B56" w:rsidRPr="00663B42" w14:paraId="2A002B7F" w14:textId="77777777" w:rsidTr="00DE3DB3">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48EC4753" w14:textId="00506F3D" w:rsidR="001B0B56" w:rsidRPr="00663B42" w:rsidRDefault="001B0B56" w:rsidP="00663B42">
            <w:pPr>
              <w:spacing w:after="0" w:line="240" w:lineRule="auto"/>
              <w:jc w:val="left"/>
              <w:rPr>
                <w:rFonts w:ascii="Calibri" w:eastAsia="Times New Roman" w:hAnsi="Calibri" w:cs="Calibri"/>
                <w:color w:val="FFFFFF"/>
                <w:sz w:val="20"/>
                <w:szCs w:val="20"/>
                <w:lang w:val="fr-FR" w:eastAsia="en-GB"/>
              </w:rPr>
            </w:pPr>
            <w:r w:rsidRPr="00663B42">
              <w:rPr>
                <w:rFonts w:ascii="Calibri" w:eastAsia="Times New Roman" w:hAnsi="Calibri" w:cs="Calibri"/>
                <w:color w:val="FFFFFF"/>
                <w:sz w:val="20"/>
                <w:szCs w:val="20"/>
                <w:lang w:val="fr-FR" w:eastAsia="en-GB"/>
              </w:rPr>
              <w:t>9.</w:t>
            </w:r>
            <w:r w:rsidRPr="00663B42">
              <w:rPr>
                <w:rFonts w:ascii="Times New Roman" w:eastAsia="Times New Roman" w:hAnsi="Times New Roman" w:cs="Times New Roman"/>
                <w:color w:val="FFFFFF"/>
                <w:sz w:val="14"/>
                <w:szCs w:val="14"/>
                <w:lang w:val="fr-FR" w:eastAsia="en-GB"/>
              </w:rPr>
              <w:t xml:space="preserve">     </w:t>
            </w:r>
            <w:r w:rsidR="00663B42" w:rsidRPr="00663B42">
              <w:rPr>
                <w:rFonts w:ascii="Calibri" w:eastAsia="Times New Roman" w:hAnsi="Calibri" w:cs="Calibri"/>
                <w:color w:val="FFFFFF"/>
                <w:sz w:val="20"/>
                <w:szCs w:val="20"/>
                <w:lang w:val="fr-FR" w:eastAsia="en-GB"/>
              </w:rPr>
              <w:t>Rapport final</w:t>
            </w:r>
            <w:r w:rsidRPr="00663B42">
              <w:rPr>
                <w:rFonts w:ascii="Calibri" w:eastAsia="Times New Roman" w:hAnsi="Calibri" w:cs="Calibri"/>
                <w:color w:val="FFFFFF"/>
                <w:sz w:val="20"/>
                <w:szCs w:val="20"/>
                <w:lang w:val="fr-FR" w:eastAsia="en-GB"/>
              </w:rPr>
              <w:t xml:space="preserve">, Publication </w:t>
            </w:r>
          </w:p>
        </w:tc>
        <w:tc>
          <w:tcPr>
            <w:tcW w:w="420" w:type="dxa"/>
            <w:tcBorders>
              <w:top w:val="nil"/>
              <w:left w:val="nil"/>
              <w:bottom w:val="single" w:sz="8" w:space="0" w:color="auto"/>
              <w:right w:val="single" w:sz="8" w:space="0" w:color="auto"/>
            </w:tcBorders>
            <w:shd w:val="clear" w:color="auto" w:fill="auto"/>
            <w:vAlign w:val="center"/>
          </w:tcPr>
          <w:p w14:paraId="2B7922C8" w14:textId="77777777" w:rsidR="001B0B56" w:rsidRPr="00663B42" w:rsidRDefault="001B0B56" w:rsidP="00DE3DB3">
            <w:pPr>
              <w:spacing w:after="0" w:line="240" w:lineRule="auto"/>
              <w:rPr>
                <w:rFonts w:ascii="Calibri" w:eastAsia="Times New Roman" w:hAnsi="Calibri" w:cs="Calibri"/>
                <w:color w:val="3C3C3C"/>
                <w:sz w:val="20"/>
                <w:szCs w:val="20"/>
                <w:lang w:val="fr-FR" w:eastAsia="en-GB"/>
              </w:rPr>
            </w:pPr>
          </w:p>
        </w:tc>
        <w:tc>
          <w:tcPr>
            <w:tcW w:w="420" w:type="dxa"/>
            <w:tcBorders>
              <w:top w:val="nil"/>
              <w:left w:val="nil"/>
              <w:bottom w:val="single" w:sz="8" w:space="0" w:color="auto"/>
              <w:right w:val="nil"/>
            </w:tcBorders>
            <w:shd w:val="clear" w:color="auto" w:fill="auto"/>
            <w:vAlign w:val="center"/>
          </w:tcPr>
          <w:p w14:paraId="61380E2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E83AA30"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C24B9D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07FB6FF7"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40302F0"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12949179"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689D9217"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7FFA72F7"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46195C2D"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5F1FA4C"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F1C082E"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3172ACFF"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176375C6"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DA9FD2D"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auto" w:fill="auto"/>
            <w:vAlign w:val="center"/>
          </w:tcPr>
          <w:p w14:paraId="5D6295CA"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c>
          <w:tcPr>
            <w:tcW w:w="420" w:type="dxa"/>
            <w:tcBorders>
              <w:top w:val="nil"/>
              <w:left w:val="single" w:sz="8" w:space="0" w:color="auto"/>
              <w:bottom w:val="single" w:sz="8" w:space="0" w:color="auto"/>
              <w:right w:val="nil"/>
            </w:tcBorders>
            <w:shd w:val="clear" w:color="000000" w:fill="00B050"/>
            <w:vAlign w:val="center"/>
          </w:tcPr>
          <w:p w14:paraId="2A195C8C" w14:textId="77777777" w:rsidR="001B0B56" w:rsidRPr="00663B42" w:rsidRDefault="001B0B56" w:rsidP="00DE3DB3">
            <w:pPr>
              <w:spacing w:after="0" w:line="240" w:lineRule="auto"/>
              <w:jc w:val="left"/>
              <w:rPr>
                <w:rFonts w:ascii="Calibri" w:eastAsia="Times New Roman" w:hAnsi="Calibri" w:cs="Calibri"/>
                <w:color w:val="3C3C3C"/>
                <w:sz w:val="20"/>
                <w:szCs w:val="20"/>
                <w:lang w:val="fr-FR" w:eastAsia="en-GB"/>
              </w:rPr>
            </w:pPr>
          </w:p>
        </w:tc>
      </w:tr>
    </w:tbl>
    <w:p w14:paraId="6A929F95" w14:textId="0FD55785" w:rsidR="00EA03DE" w:rsidRPr="00663B42" w:rsidRDefault="00EA03DE" w:rsidP="006D0011">
      <w:pPr>
        <w:shd w:val="clear" w:color="auto" w:fill="FFFFFF"/>
        <w:spacing w:after="0" w:line="240" w:lineRule="auto"/>
        <w:rPr>
          <w:rFonts w:ascii="Open Sans" w:eastAsia="Times New Roman" w:hAnsi="Open Sans" w:cs="Open Sans"/>
          <w:color w:val="000000"/>
          <w:sz w:val="21"/>
          <w:szCs w:val="21"/>
          <w:lang w:val="fr-FR" w:eastAsia="en-GB"/>
        </w:rPr>
      </w:pPr>
    </w:p>
    <w:p w14:paraId="246BA913" w14:textId="5E71A89D" w:rsidR="00BE2C0A" w:rsidRPr="00663B42" w:rsidRDefault="00BE2C0A" w:rsidP="00BE2C0A">
      <w:pPr>
        <w:pStyle w:val="Heading2"/>
        <w:rPr>
          <w:lang w:val="fr-FR"/>
        </w:rPr>
      </w:pPr>
      <w:r w:rsidRPr="00663B42">
        <w:rPr>
          <w:lang w:val="fr-FR"/>
        </w:rPr>
        <w:t>7. N</w:t>
      </w:r>
      <w:r w:rsidR="00663B42" w:rsidRPr="00663B42">
        <w:rPr>
          <w:lang w:val="fr-FR"/>
        </w:rPr>
        <w:t>omb</w:t>
      </w:r>
      <w:r w:rsidRPr="00663B42">
        <w:rPr>
          <w:lang w:val="fr-FR"/>
        </w:rPr>
        <w:t>r</w:t>
      </w:r>
      <w:r w:rsidR="00663B42" w:rsidRPr="00663B42">
        <w:rPr>
          <w:lang w:val="fr-FR"/>
        </w:rPr>
        <w:t>e de jours</w:t>
      </w:r>
    </w:p>
    <w:p w14:paraId="51420F0D" w14:textId="68E31E60" w:rsidR="00BE2C0A" w:rsidRPr="00663B42" w:rsidRDefault="00663B42" w:rsidP="00BE2C0A">
      <w:pPr>
        <w:rPr>
          <w:lang w:val="fr-FR"/>
        </w:rPr>
      </w:pPr>
      <w:r w:rsidRPr="00663B42">
        <w:rPr>
          <w:lang w:val="fr-FR"/>
        </w:rPr>
        <w:t xml:space="preserve">L'équipe de consultants sera engagée pour le nombre de jours suivants :   </w:t>
      </w:r>
    </w:p>
    <w:p w14:paraId="642E462E" w14:textId="6E968BF6" w:rsidR="00EA03DE" w:rsidRPr="00663B42" w:rsidRDefault="00663B42" w:rsidP="00C77B9D">
      <w:pPr>
        <w:rPr>
          <w:lang w:val="fr-FR"/>
        </w:rPr>
      </w:pPr>
      <w:r w:rsidRPr="00663B42">
        <w:rPr>
          <w:highlight w:val="yellow"/>
          <w:lang w:val="fr-FR"/>
        </w:rPr>
        <w:t>[Entrer les colonnes nécessaires pour les experts et le nombre de jours correspondant dans le tableau ci-dessous.</w:t>
      </w:r>
      <w:r w:rsidR="00BE2C0A" w:rsidRPr="00663B42">
        <w:rPr>
          <w:highlight w:val="yellow"/>
          <w:lang w:val="fr-FR"/>
        </w:rPr>
        <w:t>]</w:t>
      </w:r>
    </w:p>
    <w:tbl>
      <w:tblPr>
        <w:tblStyle w:val="ListTable3-Accent31"/>
        <w:tblpPr w:leftFromText="180" w:rightFromText="180" w:vertAnchor="text" w:horzAnchor="margin" w:tblpXSpec="center" w:tblpY="424"/>
        <w:tblW w:w="9812" w:type="dxa"/>
        <w:tblLook w:val="04A0" w:firstRow="1" w:lastRow="0" w:firstColumn="1" w:lastColumn="0" w:noHBand="0" w:noVBand="1"/>
      </w:tblPr>
      <w:tblGrid>
        <w:gridCol w:w="3723"/>
        <w:gridCol w:w="1347"/>
        <w:gridCol w:w="1201"/>
        <w:gridCol w:w="1215"/>
        <w:gridCol w:w="1163"/>
        <w:gridCol w:w="1163"/>
      </w:tblGrid>
      <w:tr w:rsidR="00C77B9D" w:rsidRPr="00663B42" w14:paraId="0472F227" w14:textId="21215741" w:rsidTr="00C77B9D">
        <w:trPr>
          <w:cnfStyle w:val="100000000000" w:firstRow="1" w:lastRow="0" w:firstColumn="0" w:lastColumn="0" w:oddVBand="0" w:evenVBand="0" w:oddHBand="0" w:evenHBand="0" w:firstRowFirstColumn="0" w:firstRowLastColumn="0" w:lastRowFirstColumn="0" w:lastRowLastColumn="0"/>
          <w:trHeight w:val="443"/>
        </w:trPr>
        <w:tc>
          <w:tcPr>
            <w:cnfStyle w:val="001000000100" w:firstRow="0" w:lastRow="0" w:firstColumn="1" w:lastColumn="0" w:oddVBand="0" w:evenVBand="0" w:oddHBand="0" w:evenHBand="0" w:firstRowFirstColumn="1" w:firstRowLastColumn="0" w:lastRowFirstColumn="0" w:lastRowLastColumn="0"/>
            <w:tcW w:w="37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54FADD" w14:textId="40D6A4AB" w:rsidR="00C77B9D" w:rsidRPr="00663B42" w:rsidRDefault="00663B42" w:rsidP="00663B42">
            <w:pPr>
              <w:rPr>
                <w:rFonts w:ascii="Open Sans" w:eastAsia="Times New Roman" w:hAnsi="Open Sans" w:cs="Open Sans"/>
                <w:color w:val="FFFFFF" w:themeColor="background1"/>
                <w:lang w:val="fr-FR" w:eastAsia="en-GB"/>
              </w:rPr>
            </w:pPr>
            <w:r w:rsidRPr="00663B42">
              <w:rPr>
                <w:color w:val="FFFFFF" w:themeColor="background1"/>
                <w:lang w:val="fr-FR"/>
              </w:rPr>
              <w:t>Tâches</w:t>
            </w:r>
            <w:r w:rsidR="00C77B9D" w:rsidRPr="00663B42">
              <w:rPr>
                <w:color w:val="FFFFFF" w:themeColor="background1"/>
                <w:lang w:val="fr-FR"/>
              </w:rPr>
              <w:t>/</w:t>
            </w:r>
            <w:r w:rsidRPr="00663B42">
              <w:rPr>
                <w:color w:val="FFFFFF" w:themeColor="background1"/>
                <w:lang w:val="fr-FR"/>
              </w:rPr>
              <w:t>Activités</w:t>
            </w:r>
          </w:p>
        </w:tc>
        <w:tc>
          <w:tcPr>
            <w:tcW w:w="1347" w:type="dxa"/>
            <w:tcBorders>
              <w:top w:val="single" w:sz="4" w:space="0" w:color="FFFFFF" w:themeColor="background1"/>
              <w:left w:val="single" w:sz="4" w:space="0" w:color="FFFFFF" w:themeColor="background1"/>
              <w:bottom w:val="single" w:sz="4" w:space="0" w:color="099DD7" w:themeColor="accent3"/>
              <w:right w:val="single" w:sz="4" w:space="0" w:color="FFFFFF" w:themeColor="background1"/>
            </w:tcBorders>
          </w:tcPr>
          <w:p w14:paraId="2A28F4C3" w14:textId="15A29EB6" w:rsidR="00C77B9D" w:rsidRPr="00663B42" w:rsidRDefault="00C77B9D" w:rsidP="00C77B9D">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fr-FR" w:eastAsia="en-GB"/>
              </w:rPr>
            </w:pPr>
            <w:r w:rsidRPr="00663B42">
              <w:rPr>
                <w:color w:val="FFFFFF" w:themeColor="background1"/>
                <w:lang w:val="fr-FR"/>
              </w:rPr>
              <w:t>Consultant</w:t>
            </w:r>
            <w:r w:rsidR="00663B42">
              <w:rPr>
                <w:color w:val="FFFFFF" w:themeColor="background1"/>
                <w:lang w:val="fr-FR"/>
              </w:rPr>
              <w:t xml:space="preserve"> principal</w:t>
            </w:r>
          </w:p>
        </w:tc>
        <w:tc>
          <w:tcPr>
            <w:tcW w:w="1201" w:type="dxa"/>
            <w:tcBorders>
              <w:top w:val="single" w:sz="4" w:space="0" w:color="FFFFFF" w:themeColor="background1"/>
              <w:left w:val="single" w:sz="4" w:space="0" w:color="FFFFFF" w:themeColor="background1"/>
              <w:bottom w:val="single" w:sz="4" w:space="0" w:color="099DD7" w:themeColor="accent3"/>
              <w:right w:val="single" w:sz="4" w:space="0" w:color="FFFFFF" w:themeColor="background1"/>
            </w:tcBorders>
          </w:tcPr>
          <w:p w14:paraId="004295B7" w14:textId="75A5F27E" w:rsidR="00C77B9D" w:rsidRPr="00663B42" w:rsidRDefault="00C77B9D" w:rsidP="00C77B9D">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fr-FR" w:eastAsia="en-GB"/>
              </w:rPr>
            </w:pPr>
            <w:r w:rsidRPr="00663B42">
              <w:rPr>
                <w:color w:val="FFFFFF" w:themeColor="background1"/>
                <w:lang w:val="fr-FR"/>
              </w:rPr>
              <w:t>Expert …</w:t>
            </w:r>
          </w:p>
        </w:tc>
        <w:tc>
          <w:tcPr>
            <w:tcW w:w="1215" w:type="dxa"/>
            <w:tcBorders>
              <w:top w:val="single" w:sz="4" w:space="0" w:color="099DD7" w:themeColor="accent3"/>
              <w:left w:val="single" w:sz="4" w:space="0" w:color="FFFFFF" w:themeColor="background1"/>
              <w:bottom w:val="single" w:sz="4" w:space="0" w:color="FFFFFF" w:themeColor="background1"/>
            </w:tcBorders>
          </w:tcPr>
          <w:p w14:paraId="15763BCA" w14:textId="7A54BC50" w:rsidR="00C77B9D" w:rsidRPr="00663B42" w:rsidRDefault="00C77B9D" w:rsidP="00C77B9D">
            <w:pPr>
              <w:jc w:val="cente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fr-FR" w:eastAsia="en-GB"/>
              </w:rPr>
            </w:pPr>
            <w:r w:rsidRPr="00663B42">
              <w:rPr>
                <w:color w:val="FFFFFF" w:themeColor="background1"/>
                <w:lang w:val="fr-FR"/>
              </w:rPr>
              <w:t>Expert …</w:t>
            </w:r>
          </w:p>
        </w:tc>
        <w:tc>
          <w:tcPr>
            <w:tcW w:w="1163" w:type="dxa"/>
            <w:tcBorders>
              <w:top w:val="single" w:sz="4" w:space="0" w:color="099DD7" w:themeColor="accent3"/>
              <w:left w:val="single" w:sz="4" w:space="0" w:color="FFFFFF" w:themeColor="background1"/>
              <w:bottom w:val="single" w:sz="4" w:space="0" w:color="FFFFFF" w:themeColor="background1"/>
            </w:tcBorders>
          </w:tcPr>
          <w:p w14:paraId="73E07199" w14:textId="1FC942AC" w:rsidR="00C77B9D" w:rsidRPr="00663B42" w:rsidRDefault="00C77B9D" w:rsidP="00C77B9D">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fr-FR" w:eastAsia="en-GB"/>
              </w:rPr>
            </w:pPr>
            <w:r w:rsidRPr="00663B42">
              <w:rPr>
                <w:color w:val="FFFFFF" w:themeColor="background1"/>
                <w:lang w:val="fr-FR"/>
              </w:rPr>
              <w:t>…</w:t>
            </w:r>
          </w:p>
        </w:tc>
        <w:tc>
          <w:tcPr>
            <w:tcW w:w="1163" w:type="dxa"/>
            <w:tcBorders>
              <w:top w:val="single" w:sz="4" w:space="0" w:color="099DD7" w:themeColor="accent3"/>
              <w:left w:val="single" w:sz="4" w:space="0" w:color="FFFFFF" w:themeColor="background1"/>
              <w:bottom w:val="single" w:sz="4" w:space="0" w:color="FFFFFF" w:themeColor="background1"/>
            </w:tcBorders>
          </w:tcPr>
          <w:p w14:paraId="171D0D97" w14:textId="5037706E" w:rsidR="00C77B9D" w:rsidRPr="00663B42" w:rsidRDefault="00C77B9D" w:rsidP="00C77B9D">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lang w:val="fr-FR" w:eastAsia="en-GB"/>
              </w:rPr>
            </w:pPr>
            <w:r w:rsidRPr="00663B42">
              <w:rPr>
                <w:color w:val="FFFFFF" w:themeColor="background1"/>
                <w:lang w:val="fr-FR"/>
              </w:rPr>
              <w:t>…</w:t>
            </w:r>
          </w:p>
        </w:tc>
      </w:tr>
      <w:tr w:rsidR="00C77B9D" w:rsidRPr="00663B42" w14:paraId="2EA627B6" w14:textId="481BB41B" w:rsidTr="00C77B9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723" w:type="dxa"/>
            <w:tcBorders>
              <w:top w:val="single" w:sz="4" w:space="0" w:color="FFFFFF" w:themeColor="background1"/>
              <w:right w:val="single" w:sz="4" w:space="0" w:color="099DD7" w:themeColor="accent3"/>
            </w:tcBorders>
          </w:tcPr>
          <w:p w14:paraId="48C079B1" w14:textId="68FCBF00" w:rsidR="00C77B9D" w:rsidRPr="00663B42" w:rsidRDefault="00663B42" w:rsidP="00663B42">
            <w:pPr>
              <w:jc w:val="left"/>
              <w:rPr>
                <w:rFonts w:ascii="Open Sans" w:eastAsia="Times New Roman" w:hAnsi="Open Sans" w:cs="Open Sans"/>
                <w:b w:val="0"/>
                <w:color w:val="000000"/>
                <w:lang w:val="fr-FR" w:eastAsia="en-GB"/>
              </w:rPr>
            </w:pPr>
            <w:r w:rsidRPr="00663B42">
              <w:rPr>
                <w:b w:val="0"/>
                <w:lang w:val="fr-FR"/>
              </w:rPr>
              <w:t>Préparation</w:t>
            </w:r>
            <w:r w:rsidR="00C77B9D" w:rsidRPr="00663B42">
              <w:rPr>
                <w:b w:val="0"/>
                <w:lang w:val="fr-FR"/>
              </w:rPr>
              <w:t xml:space="preserve"> (</w:t>
            </w:r>
            <w:r>
              <w:rPr>
                <w:b w:val="0"/>
                <w:lang w:val="fr-FR"/>
              </w:rPr>
              <w:t>hors du site</w:t>
            </w:r>
            <w:r w:rsidR="00C77B9D" w:rsidRPr="00663B42">
              <w:rPr>
                <w:b w:val="0"/>
                <w:lang w:val="fr-FR"/>
              </w:rPr>
              <w:t>)</w:t>
            </w:r>
          </w:p>
        </w:tc>
        <w:tc>
          <w:tcPr>
            <w:tcW w:w="1347" w:type="dxa"/>
            <w:tcBorders>
              <w:right w:val="single" w:sz="4" w:space="0" w:color="099DD7" w:themeColor="accent3"/>
            </w:tcBorders>
          </w:tcPr>
          <w:p w14:paraId="1B0945A2"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201" w:type="dxa"/>
            <w:tcBorders>
              <w:left w:val="single" w:sz="4" w:space="0" w:color="099DD7" w:themeColor="accent3"/>
              <w:right w:val="single" w:sz="4" w:space="0" w:color="099DD7" w:themeColor="accent3"/>
            </w:tcBorders>
          </w:tcPr>
          <w:p w14:paraId="4DC11285"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215" w:type="dxa"/>
            <w:tcBorders>
              <w:top w:val="single" w:sz="4" w:space="0" w:color="FFFFFF" w:themeColor="background1"/>
              <w:left w:val="single" w:sz="4" w:space="0" w:color="099DD7" w:themeColor="accent3"/>
            </w:tcBorders>
          </w:tcPr>
          <w:p w14:paraId="02F05AC7"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163" w:type="dxa"/>
            <w:tcBorders>
              <w:top w:val="single" w:sz="4" w:space="0" w:color="FFFFFF" w:themeColor="background1"/>
              <w:left w:val="single" w:sz="4" w:space="0" w:color="099DD7" w:themeColor="accent3"/>
            </w:tcBorders>
          </w:tcPr>
          <w:p w14:paraId="59D72B54"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163" w:type="dxa"/>
            <w:tcBorders>
              <w:top w:val="single" w:sz="4" w:space="0" w:color="FFFFFF" w:themeColor="background1"/>
              <w:left w:val="single" w:sz="4" w:space="0" w:color="099DD7" w:themeColor="accent3"/>
            </w:tcBorders>
          </w:tcPr>
          <w:p w14:paraId="69D941DB" w14:textId="45B818BB"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r>
      <w:tr w:rsidR="00C77B9D" w:rsidRPr="00663B42" w14:paraId="38C5A69C" w14:textId="0C37C331" w:rsidTr="0049373F">
        <w:trPr>
          <w:trHeight w:val="319"/>
        </w:trPr>
        <w:tc>
          <w:tcPr>
            <w:cnfStyle w:val="001000000000" w:firstRow="0" w:lastRow="0" w:firstColumn="1" w:lastColumn="0" w:oddVBand="0" w:evenVBand="0" w:oddHBand="0" w:evenHBand="0" w:firstRowFirstColumn="0" w:firstRowLastColumn="0" w:lastRowFirstColumn="0" w:lastRowLastColumn="0"/>
            <w:tcW w:w="372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374E34B4" w14:textId="285EA904" w:rsidR="00C77B9D" w:rsidRPr="00663B42" w:rsidRDefault="00663B42" w:rsidP="00663B42">
            <w:pPr>
              <w:jc w:val="left"/>
              <w:rPr>
                <w:rFonts w:ascii="Calibri" w:hAnsi="Calibri"/>
                <w:b w:val="0"/>
                <w:lang w:val="fr-FR"/>
              </w:rPr>
            </w:pPr>
            <w:r>
              <w:rPr>
                <w:b w:val="0"/>
                <w:lang w:val="fr-FR"/>
              </w:rPr>
              <w:lastRenderedPageBreak/>
              <w:t>Analyse contextuelle du pays</w:t>
            </w:r>
          </w:p>
        </w:tc>
        <w:tc>
          <w:tcPr>
            <w:tcW w:w="1347"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4E48B116"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1201"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5BE6EB6"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1215"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05AA0E2B"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116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67EE3720"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116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247E918" w14:textId="6BB3C9B9"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r>
      <w:tr w:rsidR="00C77B9D" w:rsidRPr="001332B9" w14:paraId="67F8F088" w14:textId="1B01A171" w:rsidTr="00C77B9D">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11957C4D" w14:textId="6D8C32BB" w:rsidR="00C77B9D" w:rsidRPr="00663B42" w:rsidRDefault="00663B42" w:rsidP="00C77B9D">
            <w:pPr>
              <w:jc w:val="left"/>
              <w:rPr>
                <w:rFonts w:ascii="Open Sans" w:eastAsia="Times New Roman" w:hAnsi="Open Sans" w:cs="Open Sans"/>
                <w:b w:val="0"/>
                <w:color w:val="000000"/>
                <w:lang w:val="fr-FR" w:eastAsia="en-GB"/>
              </w:rPr>
            </w:pPr>
            <w:r w:rsidRPr="00663B42">
              <w:rPr>
                <w:b w:val="0"/>
                <w:lang w:val="fr-FR"/>
              </w:rPr>
              <w:t>Évaluation du système de passation des marchés publics</w:t>
            </w:r>
          </w:p>
        </w:tc>
        <w:tc>
          <w:tcPr>
            <w:tcW w:w="1347" w:type="dxa"/>
            <w:tcBorders>
              <w:right w:val="single" w:sz="4" w:space="0" w:color="099DD7" w:themeColor="accent3"/>
            </w:tcBorders>
          </w:tcPr>
          <w:p w14:paraId="2ECE5058" w14:textId="77777777" w:rsidR="00C77B9D" w:rsidRPr="00663B42" w:rsidRDefault="00C77B9D" w:rsidP="00C77B9D">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201" w:type="dxa"/>
            <w:tcBorders>
              <w:left w:val="single" w:sz="4" w:space="0" w:color="099DD7" w:themeColor="accent3"/>
              <w:right w:val="single" w:sz="4" w:space="0" w:color="099DD7" w:themeColor="accent3"/>
            </w:tcBorders>
          </w:tcPr>
          <w:p w14:paraId="3BED068D" w14:textId="77777777" w:rsidR="00C77B9D" w:rsidRPr="00663B42" w:rsidRDefault="00C77B9D" w:rsidP="00C77B9D">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215" w:type="dxa"/>
            <w:tcBorders>
              <w:left w:val="single" w:sz="4" w:space="0" w:color="099DD7" w:themeColor="accent3"/>
            </w:tcBorders>
          </w:tcPr>
          <w:p w14:paraId="0F212D1C"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163" w:type="dxa"/>
            <w:tcBorders>
              <w:left w:val="single" w:sz="4" w:space="0" w:color="099DD7" w:themeColor="accent3"/>
            </w:tcBorders>
          </w:tcPr>
          <w:p w14:paraId="06CC5581"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163" w:type="dxa"/>
            <w:tcBorders>
              <w:left w:val="single" w:sz="4" w:space="0" w:color="099DD7" w:themeColor="accent3"/>
            </w:tcBorders>
          </w:tcPr>
          <w:p w14:paraId="289B2A51" w14:textId="596B4135"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r>
      <w:tr w:rsidR="00C77B9D" w:rsidRPr="00663B42" w14:paraId="46B67071" w14:textId="7D086E6F" w:rsidTr="0049373F">
        <w:trPr>
          <w:trHeight w:val="304"/>
        </w:trPr>
        <w:tc>
          <w:tcPr>
            <w:cnfStyle w:val="001000000000" w:firstRow="0" w:lastRow="0" w:firstColumn="1" w:lastColumn="0" w:oddVBand="0" w:evenVBand="0" w:oddHBand="0" w:evenHBand="0" w:firstRowFirstColumn="0" w:firstRowLastColumn="0" w:lastRowFirstColumn="0" w:lastRowLastColumn="0"/>
            <w:tcW w:w="3723" w:type="dxa"/>
            <w:tcBorders>
              <w:bottom w:val="single" w:sz="4" w:space="0" w:color="099DD7" w:themeColor="accent3"/>
              <w:right w:val="single" w:sz="4" w:space="0" w:color="099DD7" w:themeColor="accent3"/>
            </w:tcBorders>
          </w:tcPr>
          <w:p w14:paraId="543073DC" w14:textId="1D11FD8D" w:rsidR="00C77B9D" w:rsidRPr="00663B42" w:rsidRDefault="00663B42" w:rsidP="00663B42">
            <w:pPr>
              <w:jc w:val="left"/>
              <w:rPr>
                <w:rFonts w:ascii="Open Sans" w:eastAsia="Times New Roman" w:hAnsi="Open Sans" w:cs="Open Sans"/>
                <w:b w:val="0"/>
                <w:color w:val="000000"/>
                <w:lang w:val="fr-FR" w:eastAsia="en-GB"/>
              </w:rPr>
            </w:pPr>
            <w:r>
              <w:rPr>
                <w:b w:val="0"/>
                <w:lang w:val="fr-FR"/>
              </w:rPr>
              <w:t>Formulation des recomma</w:t>
            </w:r>
            <w:r w:rsidR="00C77B9D" w:rsidRPr="00663B42">
              <w:rPr>
                <w:b w:val="0"/>
                <w:lang w:val="fr-FR"/>
              </w:rPr>
              <w:t>ndations</w:t>
            </w:r>
          </w:p>
        </w:tc>
        <w:tc>
          <w:tcPr>
            <w:tcW w:w="1347" w:type="dxa"/>
            <w:tcBorders>
              <w:bottom w:val="single" w:sz="4" w:space="0" w:color="099DD7" w:themeColor="accent3"/>
              <w:right w:val="single" w:sz="4" w:space="0" w:color="099DD7" w:themeColor="accent3"/>
            </w:tcBorders>
          </w:tcPr>
          <w:p w14:paraId="61D9B2AF"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1201" w:type="dxa"/>
            <w:tcBorders>
              <w:left w:val="single" w:sz="4" w:space="0" w:color="099DD7" w:themeColor="accent3"/>
              <w:bottom w:val="single" w:sz="4" w:space="0" w:color="099DD7" w:themeColor="accent3"/>
              <w:right w:val="single" w:sz="4" w:space="0" w:color="099DD7" w:themeColor="accent3"/>
            </w:tcBorders>
          </w:tcPr>
          <w:p w14:paraId="77A8D5C3"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1215" w:type="dxa"/>
            <w:tcBorders>
              <w:left w:val="single" w:sz="4" w:space="0" w:color="099DD7" w:themeColor="accent3"/>
              <w:bottom w:val="single" w:sz="4" w:space="0" w:color="099DD7" w:themeColor="accent3"/>
            </w:tcBorders>
          </w:tcPr>
          <w:p w14:paraId="231D9327"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c>
          <w:tcPr>
            <w:tcW w:w="1163" w:type="dxa"/>
            <w:tcBorders>
              <w:left w:val="single" w:sz="4" w:space="0" w:color="099DD7" w:themeColor="accent3"/>
              <w:bottom w:val="single" w:sz="4" w:space="0" w:color="099DD7" w:themeColor="accent3"/>
            </w:tcBorders>
          </w:tcPr>
          <w:p w14:paraId="40A2F5A4"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c>
          <w:tcPr>
            <w:tcW w:w="1163" w:type="dxa"/>
            <w:tcBorders>
              <w:left w:val="single" w:sz="4" w:space="0" w:color="099DD7" w:themeColor="accent3"/>
              <w:bottom w:val="single" w:sz="4" w:space="0" w:color="099DD7" w:themeColor="accent3"/>
            </w:tcBorders>
          </w:tcPr>
          <w:p w14:paraId="4781820C" w14:textId="2A7044B6"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r>
      <w:tr w:rsidR="00C77B9D" w:rsidRPr="00663B42" w14:paraId="6A2204F0" w14:textId="16FC1B4D" w:rsidTr="0049373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60046D0D" w14:textId="6ED310D9" w:rsidR="00C77B9D" w:rsidRPr="00663B42" w:rsidRDefault="00663B42" w:rsidP="00663B42">
            <w:pPr>
              <w:jc w:val="left"/>
              <w:rPr>
                <w:rFonts w:ascii="Open Sans" w:eastAsia="Times New Roman" w:hAnsi="Open Sans" w:cs="Open Sans"/>
                <w:b w:val="0"/>
                <w:color w:val="000000"/>
                <w:lang w:val="fr-FR" w:eastAsia="en-GB"/>
              </w:rPr>
            </w:pPr>
            <w:r>
              <w:rPr>
                <w:b w:val="0"/>
                <w:lang w:val="fr-FR"/>
              </w:rPr>
              <w:t>Validation des résultats</w:t>
            </w:r>
          </w:p>
        </w:tc>
        <w:tc>
          <w:tcPr>
            <w:tcW w:w="1347" w:type="dxa"/>
            <w:tcBorders>
              <w:right w:val="single" w:sz="4" w:space="0" w:color="099DD7" w:themeColor="accent3"/>
            </w:tcBorders>
          </w:tcPr>
          <w:p w14:paraId="24D868EF"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201" w:type="dxa"/>
            <w:tcBorders>
              <w:left w:val="single" w:sz="4" w:space="0" w:color="099DD7" w:themeColor="accent3"/>
              <w:right w:val="single" w:sz="4" w:space="0" w:color="099DD7" w:themeColor="accent3"/>
            </w:tcBorders>
          </w:tcPr>
          <w:p w14:paraId="1D3E712B"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215" w:type="dxa"/>
            <w:tcBorders>
              <w:left w:val="single" w:sz="4" w:space="0" w:color="099DD7" w:themeColor="accent3"/>
              <w:right w:val="single" w:sz="4" w:space="0" w:color="099DD7" w:themeColor="accent3"/>
            </w:tcBorders>
          </w:tcPr>
          <w:p w14:paraId="7F883803"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fr-FR"/>
              </w:rPr>
            </w:pPr>
          </w:p>
        </w:tc>
        <w:tc>
          <w:tcPr>
            <w:tcW w:w="1163" w:type="dxa"/>
            <w:tcBorders>
              <w:left w:val="single" w:sz="4" w:space="0" w:color="099DD7" w:themeColor="accent3"/>
            </w:tcBorders>
          </w:tcPr>
          <w:p w14:paraId="27D9D08A"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fr-FR"/>
              </w:rPr>
            </w:pPr>
          </w:p>
        </w:tc>
        <w:tc>
          <w:tcPr>
            <w:tcW w:w="1163" w:type="dxa"/>
            <w:tcBorders>
              <w:left w:val="single" w:sz="4" w:space="0" w:color="099DD7" w:themeColor="accent3"/>
            </w:tcBorders>
          </w:tcPr>
          <w:p w14:paraId="60B0136A" w14:textId="58252ED8"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fr-FR"/>
              </w:rPr>
            </w:pPr>
          </w:p>
        </w:tc>
      </w:tr>
      <w:tr w:rsidR="00C77B9D" w:rsidRPr="00663B42" w14:paraId="7E680854" w14:textId="1CD974B5" w:rsidTr="0049373F">
        <w:trPr>
          <w:trHeight w:val="270"/>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36245DFB" w14:textId="5C4CDF2B" w:rsidR="00C77B9D" w:rsidRPr="00663B42" w:rsidRDefault="00663B42" w:rsidP="00C77B9D">
            <w:pPr>
              <w:jc w:val="left"/>
              <w:rPr>
                <w:rFonts w:ascii="Open Sans" w:eastAsia="Times New Roman" w:hAnsi="Open Sans" w:cs="Open Sans"/>
                <w:b w:val="0"/>
                <w:color w:val="000000"/>
                <w:lang w:val="fr-FR" w:eastAsia="en-GB"/>
              </w:rPr>
            </w:pPr>
            <w:r w:rsidRPr="00663B42">
              <w:rPr>
                <w:b w:val="0"/>
                <w:lang w:val="fr-FR"/>
              </w:rPr>
              <w:t>Rapport d'évaluation (hors site)</w:t>
            </w:r>
          </w:p>
        </w:tc>
        <w:tc>
          <w:tcPr>
            <w:tcW w:w="1347" w:type="dxa"/>
            <w:tcBorders>
              <w:top w:val="single" w:sz="4" w:space="0" w:color="099DD7" w:themeColor="accent3"/>
              <w:left w:val="single" w:sz="4" w:space="0" w:color="099DD7" w:themeColor="accent3"/>
              <w:bottom w:val="single" w:sz="4" w:space="0" w:color="099DD7" w:themeColor="accent3"/>
            </w:tcBorders>
          </w:tcPr>
          <w:p w14:paraId="2C362427"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1201" w:type="dxa"/>
            <w:tcBorders>
              <w:left w:val="single" w:sz="4" w:space="0" w:color="099DD7" w:themeColor="accent3"/>
              <w:right w:val="single" w:sz="4" w:space="0" w:color="099DD7" w:themeColor="accent3"/>
            </w:tcBorders>
          </w:tcPr>
          <w:p w14:paraId="3415A7F6"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1215" w:type="dxa"/>
            <w:tcBorders>
              <w:left w:val="single" w:sz="4" w:space="0" w:color="099DD7" w:themeColor="accent3"/>
            </w:tcBorders>
          </w:tcPr>
          <w:p w14:paraId="3DD96042"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c>
          <w:tcPr>
            <w:tcW w:w="1163" w:type="dxa"/>
            <w:tcBorders>
              <w:left w:val="single" w:sz="4" w:space="0" w:color="099DD7" w:themeColor="accent3"/>
            </w:tcBorders>
          </w:tcPr>
          <w:p w14:paraId="574EA04A" w14:textId="056A81B1"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c>
          <w:tcPr>
            <w:tcW w:w="1163" w:type="dxa"/>
            <w:tcBorders>
              <w:left w:val="single" w:sz="4" w:space="0" w:color="099DD7" w:themeColor="accent3"/>
            </w:tcBorders>
          </w:tcPr>
          <w:p w14:paraId="5D5EFAE6" w14:textId="41D5C12D"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r>
      <w:tr w:rsidR="00C77B9D" w:rsidRPr="001332B9" w14:paraId="2CC5B281" w14:textId="77777777" w:rsidTr="00C77B9D">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507A4AA2" w14:textId="7FB0D950" w:rsidR="00C77B9D" w:rsidRPr="00663B42" w:rsidRDefault="00663B42" w:rsidP="00663B42">
            <w:pPr>
              <w:jc w:val="left"/>
              <w:rPr>
                <w:rFonts w:ascii="Open Sans" w:eastAsia="Times New Roman" w:hAnsi="Open Sans" w:cs="Open Sans"/>
                <w:b w:val="0"/>
                <w:color w:val="000000"/>
                <w:lang w:val="fr-FR" w:eastAsia="en-GB"/>
              </w:rPr>
            </w:pPr>
            <w:r w:rsidRPr="00663B42">
              <w:rPr>
                <w:b w:val="0"/>
                <w:lang w:val="fr-FR"/>
              </w:rPr>
              <w:t>Test d'évalua</w:t>
            </w:r>
            <w:r>
              <w:rPr>
                <w:b w:val="0"/>
                <w:lang w:val="fr-FR"/>
              </w:rPr>
              <w:t>tion (Module) (le cas échéant)</w:t>
            </w:r>
            <w:r w:rsidR="00E40FF9" w:rsidRPr="00663B42">
              <w:rPr>
                <w:rStyle w:val="FootnoteReference"/>
                <w:b w:val="0"/>
                <w:lang w:val="fr-FR"/>
              </w:rPr>
              <w:footnoteReference w:id="6"/>
            </w:r>
            <w:r w:rsidR="00C77B9D" w:rsidRPr="00663B42">
              <w:rPr>
                <w:b w:val="0"/>
                <w:lang w:val="fr-FR"/>
              </w:rPr>
              <w:t xml:space="preserve"> </w:t>
            </w:r>
          </w:p>
        </w:tc>
        <w:tc>
          <w:tcPr>
            <w:tcW w:w="1347" w:type="dxa"/>
            <w:tcBorders>
              <w:left w:val="single" w:sz="4" w:space="0" w:color="099DD7" w:themeColor="accent3"/>
            </w:tcBorders>
          </w:tcPr>
          <w:p w14:paraId="7E8DF9B2"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201" w:type="dxa"/>
            <w:tcBorders>
              <w:left w:val="single" w:sz="4" w:space="0" w:color="099DD7" w:themeColor="accent3"/>
              <w:right w:val="single" w:sz="4" w:space="0" w:color="099DD7" w:themeColor="accent3"/>
            </w:tcBorders>
          </w:tcPr>
          <w:p w14:paraId="27B1217E"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215" w:type="dxa"/>
            <w:tcBorders>
              <w:left w:val="single" w:sz="4" w:space="0" w:color="099DD7" w:themeColor="accent3"/>
            </w:tcBorders>
          </w:tcPr>
          <w:p w14:paraId="515EB41E"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fr-FR"/>
              </w:rPr>
            </w:pPr>
          </w:p>
        </w:tc>
        <w:tc>
          <w:tcPr>
            <w:tcW w:w="1163" w:type="dxa"/>
            <w:tcBorders>
              <w:left w:val="single" w:sz="4" w:space="0" w:color="099DD7" w:themeColor="accent3"/>
            </w:tcBorders>
          </w:tcPr>
          <w:p w14:paraId="3930B878"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fr-FR"/>
              </w:rPr>
            </w:pPr>
          </w:p>
        </w:tc>
        <w:tc>
          <w:tcPr>
            <w:tcW w:w="1163" w:type="dxa"/>
            <w:tcBorders>
              <w:left w:val="single" w:sz="4" w:space="0" w:color="099DD7" w:themeColor="accent3"/>
            </w:tcBorders>
          </w:tcPr>
          <w:p w14:paraId="1D2197B5" w14:textId="2F9A7DA6"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fr-FR"/>
              </w:rPr>
            </w:pPr>
          </w:p>
        </w:tc>
      </w:tr>
      <w:tr w:rsidR="00C77B9D" w:rsidRPr="00663B42" w14:paraId="0B312DF9" w14:textId="77777777" w:rsidTr="0049373F">
        <w:trPr>
          <w:trHeight w:val="295"/>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6224B2A4" w14:textId="30770099" w:rsidR="00C77B9D" w:rsidRPr="00663B42" w:rsidRDefault="00663B42" w:rsidP="00C77B9D">
            <w:pPr>
              <w:jc w:val="left"/>
              <w:rPr>
                <w:rFonts w:ascii="Open Sans" w:eastAsia="Times New Roman" w:hAnsi="Open Sans" w:cs="Open Sans"/>
                <w:b w:val="0"/>
                <w:color w:val="000000"/>
                <w:lang w:val="fr-FR" w:eastAsia="en-GB"/>
              </w:rPr>
            </w:pPr>
            <w:r w:rsidRPr="00663B42">
              <w:rPr>
                <w:b w:val="0"/>
                <w:lang w:val="fr-FR"/>
              </w:rPr>
              <w:t>Voyages internationaux</w:t>
            </w:r>
          </w:p>
        </w:tc>
        <w:tc>
          <w:tcPr>
            <w:tcW w:w="1347" w:type="dxa"/>
            <w:tcBorders>
              <w:top w:val="single" w:sz="4" w:space="0" w:color="099DD7" w:themeColor="accent3"/>
              <w:left w:val="single" w:sz="4" w:space="0" w:color="099DD7" w:themeColor="accent3"/>
              <w:bottom w:val="single" w:sz="4" w:space="0" w:color="099DD7" w:themeColor="accent3"/>
            </w:tcBorders>
          </w:tcPr>
          <w:p w14:paraId="34E62607"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1201" w:type="dxa"/>
            <w:tcBorders>
              <w:left w:val="single" w:sz="4" w:space="0" w:color="099DD7" w:themeColor="accent3"/>
              <w:right w:val="single" w:sz="4" w:space="0" w:color="099DD7" w:themeColor="accent3"/>
            </w:tcBorders>
          </w:tcPr>
          <w:p w14:paraId="7C4DBC52"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lang w:val="fr-FR" w:eastAsia="en-GB"/>
              </w:rPr>
            </w:pPr>
          </w:p>
        </w:tc>
        <w:tc>
          <w:tcPr>
            <w:tcW w:w="1215" w:type="dxa"/>
            <w:tcBorders>
              <w:left w:val="single" w:sz="4" w:space="0" w:color="099DD7" w:themeColor="accent3"/>
            </w:tcBorders>
          </w:tcPr>
          <w:p w14:paraId="4D3E9790"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c>
          <w:tcPr>
            <w:tcW w:w="1163" w:type="dxa"/>
            <w:tcBorders>
              <w:left w:val="single" w:sz="4" w:space="0" w:color="099DD7" w:themeColor="accent3"/>
            </w:tcBorders>
          </w:tcPr>
          <w:p w14:paraId="7549603A" w14:textId="77777777"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c>
          <w:tcPr>
            <w:tcW w:w="1163" w:type="dxa"/>
            <w:tcBorders>
              <w:left w:val="single" w:sz="4" w:space="0" w:color="099DD7" w:themeColor="accent3"/>
            </w:tcBorders>
          </w:tcPr>
          <w:p w14:paraId="1AFD8703" w14:textId="6BA12C86" w:rsidR="00C77B9D" w:rsidRPr="00663B42" w:rsidRDefault="00C77B9D" w:rsidP="00C77B9D">
            <w:pPr>
              <w:cnfStyle w:val="000000000000" w:firstRow="0" w:lastRow="0" w:firstColumn="0" w:lastColumn="0" w:oddVBand="0" w:evenVBand="0" w:oddHBand="0" w:evenHBand="0" w:firstRowFirstColumn="0" w:firstRowLastColumn="0" w:lastRowFirstColumn="0" w:lastRowLastColumn="0"/>
              <w:rPr>
                <w:rFonts w:ascii="Calibri" w:hAnsi="Calibri"/>
                <w:lang w:val="fr-FR"/>
              </w:rPr>
            </w:pPr>
          </w:p>
        </w:tc>
      </w:tr>
      <w:tr w:rsidR="00C77B9D" w:rsidRPr="00663B42" w14:paraId="38DE4FCB" w14:textId="77777777" w:rsidTr="0049373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723" w:type="dxa"/>
            <w:tcBorders>
              <w:right w:val="single" w:sz="4" w:space="0" w:color="099DD7" w:themeColor="accent3"/>
            </w:tcBorders>
          </w:tcPr>
          <w:p w14:paraId="2FE0D0FD" w14:textId="71E88A87" w:rsidR="00C77B9D" w:rsidRPr="00663B42" w:rsidRDefault="00663B42" w:rsidP="00C77B9D">
            <w:pPr>
              <w:jc w:val="left"/>
              <w:rPr>
                <w:rFonts w:ascii="Open Sans" w:eastAsia="Times New Roman" w:hAnsi="Open Sans" w:cs="Open Sans"/>
                <w:b w:val="0"/>
                <w:color w:val="000000"/>
                <w:lang w:val="fr-FR" w:eastAsia="en-GB"/>
              </w:rPr>
            </w:pPr>
            <w:r w:rsidRPr="00663B42">
              <w:rPr>
                <w:b w:val="0"/>
                <w:lang w:val="fr-FR"/>
              </w:rPr>
              <w:t>Nombre total de jours</w:t>
            </w:r>
          </w:p>
        </w:tc>
        <w:tc>
          <w:tcPr>
            <w:tcW w:w="1347" w:type="dxa"/>
            <w:tcBorders>
              <w:left w:val="single" w:sz="4" w:space="0" w:color="099DD7" w:themeColor="accent3"/>
            </w:tcBorders>
          </w:tcPr>
          <w:p w14:paraId="5EBE455D"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201" w:type="dxa"/>
            <w:tcBorders>
              <w:left w:val="single" w:sz="4" w:space="0" w:color="099DD7" w:themeColor="accent3"/>
              <w:right w:val="single" w:sz="4" w:space="0" w:color="099DD7" w:themeColor="accent3"/>
            </w:tcBorders>
          </w:tcPr>
          <w:p w14:paraId="4477D741"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lang w:val="fr-FR" w:eastAsia="en-GB"/>
              </w:rPr>
            </w:pPr>
          </w:p>
        </w:tc>
        <w:tc>
          <w:tcPr>
            <w:tcW w:w="1215" w:type="dxa"/>
            <w:tcBorders>
              <w:left w:val="single" w:sz="4" w:space="0" w:color="099DD7" w:themeColor="accent3"/>
            </w:tcBorders>
          </w:tcPr>
          <w:p w14:paraId="4489A39E"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fr-FR"/>
              </w:rPr>
            </w:pPr>
          </w:p>
        </w:tc>
        <w:tc>
          <w:tcPr>
            <w:tcW w:w="1163" w:type="dxa"/>
            <w:tcBorders>
              <w:left w:val="single" w:sz="4" w:space="0" w:color="099DD7" w:themeColor="accent3"/>
            </w:tcBorders>
          </w:tcPr>
          <w:p w14:paraId="6F56B76B" w14:textId="77777777"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fr-FR"/>
              </w:rPr>
            </w:pPr>
          </w:p>
        </w:tc>
        <w:tc>
          <w:tcPr>
            <w:tcW w:w="1163" w:type="dxa"/>
            <w:tcBorders>
              <w:left w:val="single" w:sz="4" w:space="0" w:color="099DD7" w:themeColor="accent3"/>
            </w:tcBorders>
          </w:tcPr>
          <w:p w14:paraId="6CC76799" w14:textId="3B4D6AD5" w:rsidR="00C77B9D" w:rsidRPr="00663B42" w:rsidRDefault="00C77B9D" w:rsidP="00C77B9D">
            <w:pPr>
              <w:cnfStyle w:val="000000100000" w:firstRow="0" w:lastRow="0" w:firstColumn="0" w:lastColumn="0" w:oddVBand="0" w:evenVBand="0" w:oddHBand="1" w:evenHBand="0" w:firstRowFirstColumn="0" w:firstRowLastColumn="0" w:lastRowFirstColumn="0" w:lastRowLastColumn="0"/>
              <w:rPr>
                <w:rFonts w:ascii="Calibri" w:hAnsi="Calibri"/>
                <w:lang w:val="fr-FR"/>
              </w:rPr>
            </w:pPr>
          </w:p>
        </w:tc>
      </w:tr>
    </w:tbl>
    <w:p w14:paraId="3DC55343" w14:textId="77777777" w:rsidR="00E40FF9" w:rsidRPr="00663B42" w:rsidRDefault="00E40FF9" w:rsidP="00E40FF9">
      <w:pPr>
        <w:rPr>
          <w:lang w:val="fr-FR" w:eastAsia="en-GB"/>
        </w:rPr>
      </w:pPr>
    </w:p>
    <w:p w14:paraId="0DA2B114" w14:textId="520C527C" w:rsidR="00E40FF9" w:rsidRPr="00663B42" w:rsidRDefault="00E40FF9" w:rsidP="00E40FF9">
      <w:pPr>
        <w:pStyle w:val="Heading2"/>
        <w:rPr>
          <w:lang w:val="fr-FR" w:eastAsia="en-GB"/>
        </w:rPr>
      </w:pPr>
      <w:r w:rsidRPr="00663B42">
        <w:rPr>
          <w:lang w:val="fr-FR" w:eastAsia="en-GB"/>
        </w:rPr>
        <w:t>8. Annexes</w:t>
      </w:r>
    </w:p>
    <w:p w14:paraId="35700716" w14:textId="752E17CE" w:rsidR="00E40FF9" w:rsidRPr="00663B42" w:rsidRDefault="00E40FF9" w:rsidP="00E40FF9">
      <w:pPr>
        <w:pStyle w:val="Heading2"/>
        <w:rPr>
          <w:lang w:val="fr-FR" w:eastAsia="en-GB"/>
        </w:rPr>
      </w:pPr>
      <w:r w:rsidRPr="00663B42">
        <w:rPr>
          <w:lang w:val="fr-FR" w:eastAsia="en-GB"/>
        </w:rPr>
        <w:t>Documents</w:t>
      </w:r>
      <w:r w:rsidR="00663B42">
        <w:rPr>
          <w:lang w:val="fr-FR" w:eastAsia="en-GB"/>
        </w:rPr>
        <w:t xml:space="preserve"> sources</w:t>
      </w:r>
      <w:r w:rsidRPr="00663B42">
        <w:rPr>
          <w:lang w:val="fr-FR" w:eastAsia="en-GB"/>
        </w:rPr>
        <w:t xml:space="preserve"> (</w:t>
      </w:r>
      <w:r w:rsidR="00663B42">
        <w:rPr>
          <w:lang w:val="fr-FR" w:eastAsia="en-GB"/>
        </w:rPr>
        <w:t>en pièce jointe</w:t>
      </w:r>
      <w:r w:rsidRPr="00663B42">
        <w:rPr>
          <w:lang w:val="fr-FR" w:eastAsia="en-GB"/>
        </w:rPr>
        <w:t xml:space="preserve">): </w:t>
      </w:r>
    </w:p>
    <w:p w14:paraId="421947F2" w14:textId="04537AAE" w:rsidR="001B0B56" w:rsidRPr="00663B42" w:rsidRDefault="001332B9" w:rsidP="00663B42">
      <w:pPr>
        <w:pStyle w:val="ListParagraph"/>
        <w:numPr>
          <w:ilvl w:val="0"/>
          <w:numId w:val="8"/>
        </w:numPr>
        <w:jc w:val="left"/>
        <w:rPr>
          <w:lang w:val="fr-FR" w:eastAsia="en-GB"/>
        </w:rPr>
      </w:pPr>
      <w:hyperlink r:id="rId17" w:history="1">
        <w:r w:rsidR="00663B42" w:rsidRPr="00663B42">
          <w:rPr>
            <w:rStyle w:val="Hyperlink"/>
            <w:lang w:val="fr-FR" w:eastAsia="en-GB"/>
          </w:rPr>
          <w:t xml:space="preserve">Méthodologie d'évaluation des systèmes de passation des marchés </w:t>
        </w:r>
        <w:r w:rsidR="00E40FF9" w:rsidRPr="00663B42">
          <w:rPr>
            <w:rStyle w:val="Hyperlink"/>
            <w:lang w:val="fr-FR" w:eastAsia="en-GB"/>
          </w:rPr>
          <w:t>(MAPS)</w:t>
        </w:r>
      </w:hyperlink>
      <w:r w:rsidR="00E40FF9" w:rsidRPr="00663B42">
        <w:rPr>
          <w:lang w:val="fr-FR" w:eastAsia="en-GB"/>
        </w:rPr>
        <w:t xml:space="preserve"> </w:t>
      </w:r>
    </w:p>
    <w:p w14:paraId="1E0F0E38" w14:textId="77777777" w:rsidR="00697CA1" w:rsidRPr="00697CA1" w:rsidRDefault="00697CA1" w:rsidP="00697CA1">
      <w:pPr>
        <w:pStyle w:val="ListParagraph"/>
        <w:numPr>
          <w:ilvl w:val="0"/>
          <w:numId w:val="8"/>
        </w:numPr>
        <w:jc w:val="left"/>
        <w:rPr>
          <w:lang w:val="fr-FR" w:eastAsia="en-GB"/>
        </w:rPr>
      </w:pPr>
      <w:r w:rsidRPr="00697CA1">
        <w:rPr>
          <w:lang w:val="fr-FR" w:eastAsia="en-GB"/>
        </w:rPr>
        <w:t xml:space="preserve">Pour réaliser une évaluation de la MAPS : Modèle - Matrice d'indicateurs et modèle de la MAPS - Rapport d'évaluation de la MAPS </w:t>
      </w:r>
    </w:p>
    <w:p w14:paraId="42A13E27" w14:textId="1893A34C" w:rsidR="00697CA1" w:rsidRPr="00697CA1" w:rsidRDefault="00697CA1" w:rsidP="00697CA1">
      <w:pPr>
        <w:pStyle w:val="ListParagraph"/>
        <w:numPr>
          <w:ilvl w:val="0"/>
          <w:numId w:val="8"/>
        </w:numPr>
        <w:jc w:val="left"/>
        <w:rPr>
          <w:lang w:val="fr-FR" w:eastAsia="en-GB"/>
        </w:rPr>
      </w:pPr>
      <w:r w:rsidRPr="00697CA1">
        <w:rPr>
          <w:lang w:val="fr-FR" w:eastAsia="en-GB"/>
        </w:rPr>
        <w:t>Pour effectuer un test d'évaluation de la MAPS : Modèle de rapport de test de la MAPS : Tests de la méthodologie révisée d'évaluation des systèmes de passation des marchés ; et description du module de la MAPS (ébauche)</w:t>
      </w:r>
    </w:p>
    <w:p w14:paraId="5E24DCBC" w14:textId="41D71D84" w:rsidR="00E40FF9" w:rsidRPr="00663B42" w:rsidRDefault="00697CA1" w:rsidP="00697CA1">
      <w:pPr>
        <w:pStyle w:val="ListParagraph"/>
        <w:numPr>
          <w:ilvl w:val="0"/>
          <w:numId w:val="8"/>
        </w:numPr>
        <w:jc w:val="left"/>
        <w:rPr>
          <w:lang w:val="fr-FR" w:eastAsia="en-GB"/>
        </w:rPr>
      </w:pPr>
      <w:r w:rsidRPr="00697CA1">
        <w:rPr>
          <w:lang w:val="fr-FR" w:eastAsia="en-GB"/>
        </w:rPr>
        <w:t>[Documents complémentaires]</w:t>
      </w:r>
      <w:r>
        <w:rPr>
          <w:lang w:val="fr-FR" w:eastAsia="en-GB"/>
        </w:rPr>
        <w:t>.</w:t>
      </w:r>
    </w:p>
    <w:p w14:paraId="441CEA5D" w14:textId="05A58539" w:rsidR="006D0011" w:rsidRPr="0049373F" w:rsidRDefault="00E40FF9" w:rsidP="0049373F">
      <w:pPr>
        <w:rPr>
          <w:lang w:val="fr-FR" w:eastAsia="en-GB"/>
        </w:rPr>
      </w:pPr>
      <w:r w:rsidRPr="00697CA1">
        <w:rPr>
          <w:highlight w:val="yellow"/>
          <w:lang w:val="fr-FR" w:eastAsia="en-GB"/>
        </w:rPr>
        <w:t>[</w:t>
      </w:r>
      <w:r w:rsidR="00697CA1" w:rsidRPr="00697CA1">
        <w:rPr>
          <w:highlight w:val="yellow"/>
          <w:lang w:val="fr-FR" w:eastAsia="en-GB"/>
        </w:rPr>
        <w:t>Une fois terminé, veuillez supprimer toutes les instructions [entre parenthèses]</w:t>
      </w:r>
      <w:r w:rsidRPr="00697CA1">
        <w:rPr>
          <w:highlight w:val="yellow"/>
          <w:lang w:val="fr-FR" w:eastAsia="en-GB"/>
        </w:rPr>
        <w:t>].</w:t>
      </w:r>
    </w:p>
    <w:sectPr w:rsidR="006D0011" w:rsidRPr="0049373F" w:rsidSect="00F16017">
      <w:footerReference w:type="default" r:id="rId18"/>
      <w:pgSz w:w="12240" w:h="15840"/>
      <w:pgMar w:top="1440" w:right="1440" w:bottom="1440" w:left="144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43AB1" w14:textId="77777777" w:rsidR="001F3FD5" w:rsidRDefault="001F3FD5" w:rsidP="00855982">
      <w:pPr>
        <w:spacing w:after="0" w:line="240" w:lineRule="auto"/>
      </w:pPr>
      <w:r>
        <w:separator/>
      </w:r>
    </w:p>
  </w:endnote>
  <w:endnote w:type="continuationSeparator" w:id="0">
    <w:p w14:paraId="50AC3A49" w14:textId="77777777" w:rsidR="001F3FD5" w:rsidRDefault="001F3FD5"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05412E1F" w14:textId="06CD99D0" w:rsidR="00855982" w:rsidRDefault="00520A57" w:rsidP="00205A60">
        <w:pPr>
          <w:pStyle w:val="Footer"/>
          <w:jc w:val="left"/>
        </w:pPr>
        <w:r>
          <w:rPr>
            <w:noProof/>
            <w:lang w:val="en-GB" w:eastAsia="en-GB"/>
          </w:rPr>
          <w:drawing>
            <wp:anchor distT="0" distB="0" distL="114300" distR="114300" simplePos="0" relativeHeight="251658240" behindDoc="1" locked="0" layoutInCell="1" allowOverlap="1" wp14:anchorId="05412E20" wp14:editId="05412E21">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855982">
          <w:fldChar w:fldCharType="begin"/>
        </w:r>
        <w:r w:rsidR="00855982">
          <w:instrText xml:space="preserve"> PAGE   \* MERGEFORMAT </w:instrText>
        </w:r>
        <w:r w:rsidR="00855982">
          <w:fldChar w:fldCharType="separate"/>
        </w:r>
        <w:r w:rsidR="001332B9">
          <w:rPr>
            <w:noProof/>
          </w:rPr>
          <w:t>7</w:t>
        </w:r>
        <w:r w:rsidR="0085598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A90E" w14:textId="77777777" w:rsidR="001F3FD5" w:rsidRDefault="001F3FD5" w:rsidP="00855982">
      <w:pPr>
        <w:spacing w:after="0" w:line="240" w:lineRule="auto"/>
      </w:pPr>
      <w:r>
        <w:separator/>
      </w:r>
    </w:p>
  </w:footnote>
  <w:footnote w:type="continuationSeparator" w:id="0">
    <w:p w14:paraId="1255988C" w14:textId="77777777" w:rsidR="001F3FD5" w:rsidRDefault="001F3FD5" w:rsidP="00855982">
      <w:pPr>
        <w:spacing w:after="0" w:line="240" w:lineRule="auto"/>
      </w:pPr>
      <w:r>
        <w:continuationSeparator/>
      </w:r>
    </w:p>
  </w:footnote>
  <w:footnote w:id="1">
    <w:p w14:paraId="620BE3AF" w14:textId="64A91573" w:rsidR="00060D02" w:rsidRPr="00060D02" w:rsidRDefault="00060D02" w:rsidP="00060D02">
      <w:pPr>
        <w:pStyle w:val="FootnoteText"/>
        <w:jc w:val="left"/>
        <w:rPr>
          <w:i/>
          <w:sz w:val="18"/>
          <w:lang w:val="fr-FR"/>
        </w:rPr>
      </w:pPr>
      <w:r w:rsidRPr="0049642D">
        <w:rPr>
          <w:rStyle w:val="FootnoteReference"/>
          <w:sz w:val="18"/>
        </w:rPr>
        <w:footnoteRef/>
      </w:r>
      <w:r>
        <w:rPr>
          <w:sz w:val="18"/>
          <w:lang w:val="fr-FR"/>
        </w:rPr>
        <w:t xml:space="preserve"> </w:t>
      </w:r>
      <w:r w:rsidRPr="00060D02">
        <w:rPr>
          <w:sz w:val="18"/>
          <w:lang w:val="fr-FR"/>
        </w:rPr>
        <w:t xml:space="preserve">Méthodologie d'évaluation des systèmes de passation des marchés (MAPS), </w:t>
      </w:r>
      <w:r>
        <w:rPr>
          <w:sz w:val="18"/>
          <w:lang w:val="fr-FR"/>
        </w:rPr>
        <w:t xml:space="preserve"> </w:t>
      </w:r>
      <w:hyperlink r:id="rId1" w:history="1">
        <w:r w:rsidRPr="00F9415B">
          <w:rPr>
            <w:rStyle w:val="Hyperlink"/>
            <w:sz w:val="18"/>
            <w:lang w:val="fr-FR"/>
          </w:rPr>
          <w:t>http://www.mapsinitiative.org/methodology/MAPS-methodologie-evaluation-systemes-passation-marches.pdf</w:t>
        </w:r>
      </w:hyperlink>
      <w:r>
        <w:rPr>
          <w:sz w:val="18"/>
          <w:lang w:val="fr-FR"/>
        </w:rPr>
        <w:t xml:space="preserve"> </w:t>
      </w:r>
    </w:p>
  </w:footnote>
  <w:footnote w:id="2">
    <w:p w14:paraId="11095816" w14:textId="7B06C364" w:rsidR="00CD568C" w:rsidRPr="003D12B6" w:rsidRDefault="00CD568C" w:rsidP="00CD568C">
      <w:pPr>
        <w:pStyle w:val="FootnoteText"/>
        <w:rPr>
          <w:sz w:val="18"/>
          <w:lang w:val="fr-FR"/>
        </w:rPr>
      </w:pPr>
      <w:r w:rsidRPr="003D12B6">
        <w:rPr>
          <w:rStyle w:val="FootnoteReference"/>
          <w:sz w:val="18"/>
          <w:lang w:val="fr-FR"/>
        </w:rPr>
        <w:footnoteRef/>
      </w:r>
      <w:r w:rsidR="003D12B6" w:rsidRPr="003D12B6">
        <w:rPr>
          <w:sz w:val="18"/>
          <w:lang w:val="fr-FR"/>
        </w:rPr>
        <w:t xml:space="preserve"> Modèle</w:t>
      </w:r>
      <w:r w:rsidRPr="003D12B6">
        <w:rPr>
          <w:sz w:val="18"/>
          <w:lang w:val="fr-FR"/>
        </w:rPr>
        <w:t xml:space="preserve">: </w:t>
      </w:r>
      <w:r w:rsidR="003D12B6" w:rsidRPr="003D12B6">
        <w:rPr>
          <w:sz w:val="18"/>
          <w:lang w:val="fr-FR"/>
        </w:rPr>
        <w:t>Matrice d'indicateurs de la MAPS pour documenter les résultats détaillés de l'évaluation (étapes 1 à 3)</w:t>
      </w:r>
    </w:p>
  </w:footnote>
  <w:footnote w:id="3">
    <w:p w14:paraId="5F756837" w14:textId="0F51D217" w:rsidR="003D12B6" w:rsidRPr="00032934" w:rsidRDefault="003D12B6" w:rsidP="003D12B6">
      <w:pPr>
        <w:pStyle w:val="FootnoteText"/>
        <w:rPr>
          <w:sz w:val="18"/>
          <w:lang w:val="fr-FR"/>
        </w:rPr>
      </w:pPr>
      <w:r w:rsidRPr="0049642D">
        <w:rPr>
          <w:rStyle w:val="FootnoteReference"/>
          <w:sz w:val="18"/>
        </w:rPr>
        <w:footnoteRef/>
      </w:r>
      <w:r w:rsidR="00032934" w:rsidRPr="00032934">
        <w:rPr>
          <w:sz w:val="18"/>
          <w:lang w:val="fr-FR"/>
        </w:rPr>
        <w:t xml:space="preserve"> </w:t>
      </w:r>
      <w:r w:rsidR="000C0BD8" w:rsidRPr="00032934">
        <w:rPr>
          <w:sz w:val="18"/>
          <w:lang w:val="fr-FR"/>
        </w:rPr>
        <w:t>Modèle</w:t>
      </w:r>
      <w:r w:rsidR="00032934" w:rsidRPr="00032934">
        <w:rPr>
          <w:sz w:val="18"/>
          <w:lang w:val="fr-FR"/>
        </w:rPr>
        <w:t>: Rapport d’évaluation de la MAPS</w:t>
      </w:r>
    </w:p>
  </w:footnote>
  <w:footnote w:id="4">
    <w:p w14:paraId="28D9A98D" w14:textId="77777777" w:rsidR="000C0BD8" w:rsidRPr="00032934" w:rsidRDefault="000C0BD8" w:rsidP="000C0BD8">
      <w:pPr>
        <w:pStyle w:val="FootnoteText"/>
        <w:rPr>
          <w:sz w:val="18"/>
          <w:lang w:val="fr-FR"/>
        </w:rPr>
      </w:pPr>
      <w:r w:rsidRPr="0049642D">
        <w:rPr>
          <w:rStyle w:val="FootnoteReference"/>
          <w:sz w:val="18"/>
        </w:rPr>
        <w:footnoteRef/>
      </w:r>
      <w:r w:rsidRPr="00032934">
        <w:rPr>
          <w:sz w:val="18"/>
          <w:lang w:val="fr-FR"/>
        </w:rPr>
        <w:t xml:space="preserve"> Rapport du test de la MAPS: </w:t>
      </w:r>
      <w:r>
        <w:rPr>
          <w:sz w:val="18"/>
          <w:lang w:val="fr-FR"/>
        </w:rPr>
        <w:t>Test de la M</w:t>
      </w:r>
      <w:r w:rsidRPr="00032934">
        <w:rPr>
          <w:sz w:val="18"/>
          <w:lang w:val="fr-FR"/>
        </w:rPr>
        <w:t>éthodologie révisée d'évaluation des systèmes</w:t>
      </w:r>
      <w:r>
        <w:rPr>
          <w:sz w:val="18"/>
          <w:lang w:val="fr-FR"/>
        </w:rPr>
        <w:t xml:space="preserve"> de passation des marchés</w:t>
      </w:r>
    </w:p>
  </w:footnote>
  <w:footnote w:id="5">
    <w:p w14:paraId="6391694C" w14:textId="5940D15F" w:rsidR="001B0B56" w:rsidRPr="00663B42" w:rsidRDefault="001B0B56" w:rsidP="001B0B56">
      <w:pPr>
        <w:pStyle w:val="FootnoteText"/>
        <w:rPr>
          <w:lang w:val="fr-FR"/>
        </w:rPr>
      </w:pPr>
      <w:r w:rsidRPr="00663B42">
        <w:rPr>
          <w:rStyle w:val="FootnoteReference"/>
          <w:rFonts w:cs="Arial"/>
          <w:sz w:val="20"/>
          <w:lang w:val="fr-FR"/>
        </w:rPr>
        <w:t>4</w:t>
      </w:r>
      <w:r w:rsidR="00663B42" w:rsidRPr="00663B42">
        <w:rPr>
          <w:sz w:val="20"/>
          <w:lang w:val="fr-FR"/>
        </w:rPr>
        <w:t xml:space="preserve"> Il faudra éventuellement prévoir du temps supplémentaire pour tenir compte de la mobilisation de l'équipe d'évaluation.</w:t>
      </w:r>
    </w:p>
  </w:footnote>
  <w:footnote w:id="6">
    <w:p w14:paraId="0B2AA4BB" w14:textId="629670D3" w:rsidR="00E40FF9" w:rsidRPr="00E40FF9" w:rsidRDefault="00E40FF9" w:rsidP="00E40FF9">
      <w:pPr>
        <w:pStyle w:val="FootnoteText"/>
      </w:pPr>
      <w:r>
        <w:rPr>
          <w:rStyle w:val="FootnoteReference"/>
        </w:rPr>
        <w:footnoteRef/>
      </w:r>
      <w:r>
        <w:t xml:space="preserve"> </w:t>
      </w:r>
      <w:r w:rsidR="00663B42" w:rsidRPr="00663B42">
        <w:rPr>
          <w:sz w:val="20"/>
        </w:rPr>
        <w:t>Tâches/activités à préciser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CD4"/>
    <w:multiLevelType w:val="hybridMultilevel"/>
    <w:tmpl w:val="7EA8991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67D3E"/>
    <w:multiLevelType w:val="hybridMultilevel"/>
    <w:tmpl w:val="0212D3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952674"/>
    <w:multiLevelType w:val="hybridMultilevel"/>
    <w:tmpl w:val="B20E3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14719"/>
    <w:multiLevelType w:val="hybridMultilevel"/>
    <w:tmpl w:val="3DE0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75922"/>
    <w:multiLevelType w:val="hybridMultilevel"/>
    <w:tmpl w:val="4F167A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1B0B4B"/>
    <w:multiLevelType w:val="hybridMultilevel"/>
    <w:tmpl w:val="CC06899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 w15:restartNumberingAfterBreak="0">
    <w:nsid w:val="373F28F7"/>
    <w:multiLevelType w:val="hybridMultilevel"/>
    <w:tmpl w:val="ACFA67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403485"/>
    <w:multiLevelType w:val="hybridMultilevel"/>
    <w:tmpl w:val="1EA89C88"/>
    <w:lvl w:ilvl="0" w:tplc="08090001">
      <w:start w:val="1"/>
      <w:numFmt w:val="bullet"/>
      <w:lvlText w:val=""/>
      <w:lvlJc w:val="left"/>
      <w:pPr>
        <w:ind w:left="1428" w:hanging="360"/>
      </w:pPr>
      <w:rPr>
        <w:rFonts w:ascii="Symbol" w:hAnsi="Symbol" w:hint="default"/>
      </w:rPr>
    </w:lvl>
    <w:lvl w:ilvl="1" w:tplc="9858D41A">
      <w:numFmt w:val="bullet"/>
      <w:lvlText w:val="-"/>
      <w:lvlJc w:val="left"/>
      <w:pPr>
        <w:ind w:left="2493" w:hanging="705"/>
      </w:pPr>
      <w:rPr>
        <w:rFonts w:ascii="Calibri" w:eastAsiaTheme="minorEastAsia"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493650BB"/>
    <w:multiLevelType w:val="hybridMultilevel"/>
    <w:tmpl w:val="609A5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75D97"/>
    <w:multiLevelType w:val="hybridMultilevel"/>
    <w:tmpl w:val="384E5316"/>
    <w:lvl w:ilvl="0" w:tplc="0809000F">
      <w:start w:val="1"/>
      <w:numFmt w:val="decimal"/>
      <w:lvlText w:val="%1."/>
      <w:lvlJc w:val="left"/>
      <w:pPr>
        <w:ind w:left="1495" w:hanging="360"/>
      </w:pPr>
      <w:rPr>
        <w:rFonts w:cs="Times New Roman"/>
      </w:rPr>
    </w:lvl>
    <w:lvl w:ilvl="1" w:tplc="08090019" w:tentative="1">
      <w:start w:val="1"/>
      <w:numFmt w:val="lowerLetter"/>
      <w:lvlText w:val="%2."/>
      <w:lvlJc w:val="left"/>
      <w:pPr>
        <w:ind w:left="2575" w:hanging="360"/>
      </w:pPr>
      <w:rPr>
        <w:rFonts w:cs="Times New Roman"/>
      </w:rPr>
    </w:lvl>
    <w:lvl w:ilvl="2" w:tplc="0809001B" w:tentative="1">
      <w:start w:val="1"/>
      <w:numFmt w:val="lowerRoman"/>
      <w:lvlText w:val="%3."/>
      <w:lvlJc w:val="right"/>
      <w:pPr>
        <w:ind w:left="3295" w:hanging="180"/>
      </w:pPr>
      <w:rPr>
        <w:rFonts w:cs="Times New Roman"/>
      </w:rPr>
    </w:lvl>
    <w:lvl w:ilvl="3" w:tplc="0809000F" w:tentative="1">
      <w:start w:val="1"/>
      <w:numFmt w:val="decimal"/>
      <w:lvlText w:val="%4."/>
      <w:lvlJc w:val="left"/>
      <w:pPr>
        <w:ind w:left="4015" w:hanging="360"/>
      </w:pPr>
      <w:rPr>
        <w:rFonts w:cs="Times New Roman"/>
      </w:rPr>
    </w:lvl>
    <w:lvl w:ilvl="4" w:tplc="08090019" w:tentative="1">
      <w:start w:val="1"/>
      <w:numFmt w:val="lowerLetter"/>
      <w:lvlText w:val="%5."/>
      <w:lvlJc w:val="left"/>
      <w:pPr>
        <w:ind w:left="4735" w:hanging="360"/>
      </w:pPr>
      <w:rPr>
        <w:rFonts w:cs="Times New Roman"/>
      </w:rPr>
    </w:lvl>
    <w:lvl w:ilvl="5" w:tplc="0809001B" w:tentative="1">
      <w:start w:val="1"/>
      <w:numFmt w:val="lowerRoman"/>
      <w:lvlText w:val="%6."/>
      <w:lvlJc w:val="right"/>
      <w:pPr>
        <w:ind w:left="5455" w:hanging="180"/>
      </w:pPr>
      <w:rPr>
        <w:rFonts w:cs="Times New Roman"/>
      </w:rPr>
    </w:lvl>
    <w:lvl w:ilvl="6" w:tplc="0809000F" w:tentative="1">
      <w:start w:val="1"/>
      <w:numFmt w:val="decimal"/>
      <w:lvlText w:val="%7."/>
      <w:lvlJc w:val="left"/>
      <w:pPr>
        <w:ind w:left="6175" w:hanging="360"/>
      </w:pPr>
      <w:rPr>
        <w:rFonts w:cs="Times New Roman"/>
      </w:rPr>
    </w:lvl>
    <w:lvl w:ilvl="7" w:tplc="08090019" w:tentative="1">
      <w:start w:val="1"/>
      <w:numFmt w:val="lowerLetter"/>
      <w:lvlText w:val="%8."/>
      <w:lvlJc w:val="left"/>
      <w:pPr>
        <w:ind w:left="6895" w:hanging="360"/>
      </w:pPr>
      <w:rPr>
        <w:rFonts w:cs="Times New Roman"/>
      </w:rPr>
    </w:lvl>
    <w:lvl w:ilvl="8" w:tplc="0809001B" w:tentative="1">
      <w:start w:val="1"/>
      <w:numFmt w:val="lowerRoman"/>
      <w:lvlText w:val="%9."/>
      <w:lvlJc w:val="right"/>
      <w:pPr>
        <w:ind w:left="7615" w:hanging="180"/>
      </w:pPr>
      <w:rPr>
        <w:rFonts w:cs="Times New Roman"/>
      </w:rPr>
    </w:lvl>
  </w:abstractNum>
  <w:abstractNum w:abstractNumId="10" w15:restartNumberingAfterBreak="0">
    <w:nsid w:val="69A4112D"/>
    <w:multiLevelType w:val="hybridMultilevel"/>
    <w:tmpl w:val="3EE8B6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34A2E6C"/>
    <w:multiLevelType w:val="hybridMultilevel"/>
    <w:tmpl w:val="6156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5"/>
  </w:num>
  <w:num w:numId="5">
    <w:abstractNumId w:val="11"/>
  </w:num>
  <w:num w:numId="6">
    <w:abstractNumId w:val="3"/>
  </w:num>
  <w:num w:numId="7">
    <w:abstractNumId w:val="9"/>
  </w:num>
  <w:num w:numId="8">
    <w:abstractNumId w:val="7"/>
  </w:num>
  <w:num w:numId="9">
    <w:abstractNumId w:val="4"/>
  </w:num>
  <w:num w:numId="10">
    <w:abstractNumId w:val="8"/>
  </w:num>
  <w:num w:numId="11">
    <w:abstractNumId w:val="1"/>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98"/>
    <w:rsid w:val="00012B1C"/>
    <w:rsid w:val="0002093B"/>
    <w:rsid w:val="00032934"/>
    <w:rsid w:val="00060D02"/>
    <w:rsid w:val="0009151A"/>
    <w:rsid w:val="000C0BD8"/>
    <w:rsid w:val="001332B9"/>
    <w:rsid w:val="001B0B56"/>
    <w:rsid w:val="001B3E9A"/>
    <w:rsid w:val="001D4362"/>
    <w:rsid w:val="001F3FD5"/>
    <w:rsid w:val="00205A60"/>
    <w:rsid w:val="00264DE4"/>
    <w:rsid w:val="002738F4"/>
    <w:rsid w:val="00281839"/>
    <w:rsid w:val="002E2D79"/>
    <w:rsid w:val="003A09E0"/>
    <w:rsid w:val="003D12B6"/>
    <w:rsid w:val="0041703E"/>
    <w:rsid w:val="0049373F"/>
    <w:rsid w:val="004C4A7F"/>
    <w:rsid w:val="0051623B"/>
    <w:rsid w:val="00520A57"/>
    <w:rsid w:val="00526850"/>
    <w:rsid w:val="00561EAE"/>
    <w:rsid w:val="00577751"/>
    <w:rsid w:val="005A4A35"/>
    <w:rsid w:val="00632F23"/>
    <w:rsid w:val="00663B42"/>
    <w:rsid w:val="00697CA1"/>
    <w:rsid w:val="006A36EB"/>
    <w:rsid w:val="006B6837"/>
    <w:rsid w:val="006D0011"/>
    <w:rsid w:val="006E6331"/>
    <w:rsid w:val="00746E4C"/>
    <w:rsid w:val="00755BF7"/>
    <w:rsid w:val="00775AD1"/>
    <w:rsid w:val="007833A7"/>
    <w:rsid w:val="00855982"/>
    <w:rsid w:val="008C5E85"/>
    <w:rsid w:val="00980125"/>
    <w:rsid w:val="009C20D9"/>
    <w:rsid w:val="00A10484"/>
    <w:rsid w:val="00A12369"/>
    <w:rsid w:val="00A15B7E"/>
    <w:rsid w:val="00A530F5"/>
    <w:rsid w:val="00AD282A"/>
    <w:rsid w:val="00B02133"/>
    <w:rsid w:val="00B25B98"/>
    <w:rsid w:val="00B96496"/>
    <w:rsid w:val="00BA6AE6"/>
    <w:rsid w:val="00BE2C0A"/>
    <w:rsid w:val="00C06B86"/>
    <w:rsid w:val="00C77B9D"/>
    <w:rsid w:val="00CA52E0"/>
    <w:rsid w:val="00CD568C"/>
    <w:rsid w:val="00D207C6"/>
    <w:rsid w:val="00D649B6"/>
    <w:rsid w:val="00D82D1F"/>
    <w:rsid w:val="00DF5693"/>
    <w:rsid w:val="00E40FF9"/>
    <w:rsid w:val="00E81898"/>
    <w:rsid w:val="00EA03DE"/>
    <w:rsid w:val="00EC49E7"/>
    <w:rsid w:val="00EE7EA9"/>
    <w:rsid w:val="00F153FB"/>
    <w:rsid w:val="00F16017"/>
    <w:rsid w:val="00F86085"/>
    <w:rsid w:val="00FA0E7A"/>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412E03"/>
  <w15:docId w15:val="{F8F733C5-6541-4CBC-8D2E-D05F2B65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7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51623B"/>
    <w:rPr>
      <w:vertAlign w:val="superscript"/>
    </w:rPr>
  </w:style>
  <w:style w:type="paragraph" w:styleId="ListParagraph">
    <w:name w:val="List Paragraph"/>
    <w:basedOn w:val="Normal"/>
    <w:uiPriority w:val="34"/>
    <w:qFormat/>
    <w:rsid w:val="00F16017"/>
    <w:pPr>
      <w:ind w:left="720"/>
      <w:contextualSpacing/>
    </w:pPr>
  </w:style>
  <w:style w:type="table" w:styleId="TableGrid">
    <w:name w:val="Table Grid"/>
    <w:basedOn w:val="TableNormal"/>
    <w:uiPriority w:val="59"/>
    <w:rsid w:val="00F16017"/>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mapsinitiative.org/methodology/MAPS-methodology-for-assessing-procurement-systems.pdf" TargetMode="External"/><Relationship Id="rId2" Type="http://schemas.openxmlformats.org/officeDocument/2006/relationships/customXml" Target="../customXml/item2.xml"/><Relationship Id="rId16" Type="http://schemas.openxmlformats.org/officeDocument/2006/relationships/hyperlink" Target="https://www.mapsinitiative.org/fr/methodologie/15%20Mod%C3%A8le-%20D%C3%A9claration%20de%20conflits%20d'int%C3%A9r%C3%AAt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mapsinitiative.org/fr/methodologie/14%20Orientation%20Profil%20des%20%C3%A9valuateurs%20MAPS-v2.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mapsinitiative.org/methodology/MAPS-methodologie-evaluation-systemes-passation-march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3.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PILATI Elisabetta, GOV/IPP</DisplayName>
        <AccountId>1946</AccountId>
        <AccountType/>
      </UserInfo>
      <UserInfo>
        <DisplayName>GROOT Jeppe, GOV/IPP</DisplayName>
        <AccountId>4060</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PENAGOS Nicolas, GOV/IPP</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OECDYear xmlns="54c4cd27-f286-408f-9ce0-33c1e0f3ab39" xsi:nil="true"/>
  </documentManagement>
</p:properties>
</file>

<file path=customXml/item6.xml><?xml version="1.0" encoding="utf-8"?>
<b:Sources xmlns:b="http://schemas.openxmlformats.org/officeDocument/2006/bibliography" xmlns="http://schemas.openxmlformats.org/officeDocument/2006/bibliography" SelectedStyle="\oecd-en.xsl" StyleName="OECD English" Version="20180227"/>
</file>

<file path=customXml/itemProps1.xml><?xml version="1.0" encoding="utf-8"?>
<ds:datastoreItem xmlns:ds="http://schemas.openxmlformats.org/officeDocument/2006/customXml" ds:itemID="{A1F76EFE-12D5-4C5C-9EA5-C2E5D9B16C62}">
  <ds:schemaRefs>
    <ds:schemaRef ds:uri="http://schemas.microsoft.com/sharepoint/v3/contenttype/forms"/>
  </ds:schemaRefs>
</ds:datastoreItem>
</file>

<file path=customXml/itemProps2.xml><?xml version="1.0" encoding="utf-8"?>
<ds:datastoreItem xmlns:ds="http://schemas.openxmlformats.org/officeDocument/2006/customXml" ds:itemID="{413D88D7-7E96-4E7A-B454-244BCF2F65A1}">
  <ds:schemaRefs>
    <ds:schemaRef ds:uri="http://www.oecd.org/eshare/projectsentre/CtFieldPriority/"/>
    <ds:schemaRef ds:uri="http://schemas.microsoft.com/2003/10/Serialization/Arrays"/>
  </ds:schemaRefs>
</ds:datastoreItem>
</file>

<file path=customXml/itemProps3.xml><?xml version="1.0" encoding="utf-8"?>
<ds:datastoreItem xmlns:ds="http://schemas.openxmlformats.org/officeDocument/2006/customXml" ds:itemID="{6C48C88B-E189-46B6-BA67-C2A659E9F91F}">
  <ds:schemaRefs>
    <ds:schemaRef ds:uri="Microsoft.SharePoint.Taxonomy.ContentTypeSync"/>
  </ds:schemaRefs>
</ds:datastoreItem>
</file>

<file path=customXml/itemProps4.xml><?xml version="1.0" encoding="utf-8"?>
<ds:datastoreItem xmlns:ds="http://schemas.openxmlformats.org/officeDocument/2006/customXml" ds:itemID="{8D823BDF-3DFC-4BF9-9C65-6197CAF0A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671810-3EF7-4C8E-BCBA-248ABE2BAB39}">
  <ds:schemaRefs>
    <ds:schemaRef ds:uri="375c99d1-ca6e-49b5-b969-bc8a239e4ffd"/>
    <ds:schemaRef ds:uri="54c4cd27-f286-408f-9ce0-33c1e0f3ab39"/>
    <ds:schemaRef ds:uri="18889a2b-0d37-4ff0-afeb-cbbf52875171"/>
    <ds:schemaRef ds:uri="c9f238dd-bb73-4aef-a7a5-d644ad823e52"/>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4"/>
    <ds:schemaRef ds:uri="http://purl.org/dc/elements/1.1/"/>
    <ds:schemaRef ds:uri="ca82dde9-3436-4d3d-bddd-d31447390034"/>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6A34B215-5667-42A3-95B9-17167686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73</TotalTime>
  <Pages>8</Pages>
  <Words>1910</Words>
  <Characters>11081</Characters>
  <Application>Microsoft Office Word</Application>
  <DocSecurity>0</DocSecurity>
  <Lines>527</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Modèle:                                  Termes de référence</vt:lpstr>
      <vt:lpstr>Modèle:                                  Termes de référence</vt:lpstr>
    </vt:vector>
  </TitlesOfParts>
  <Company>MAPS</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Termes de référence</dc:title>
  <dc:subject>2022</dc:subject>
  <dc:creator>Marie Mantopoulos</dc:creator>
  <cp:keywords/>
  <dc:description/>
  <cp:lastModifiedBy>PILATI Elisabetta, GOV/IPP</cp:lastModifiedBy>
  <cp:revision>48</cp:revision>
  <cp:lastPrinted>2018-03-09T18:15:00Z</cp:lastPrinted>
  <dcterms:created xsi:type="dcterms:W3CDTF">2019-03-07T21:51:00Z</dcterms:created>
  <dcterms:modified xsi:type="dcterms:W3CDTF">2022-05-13T13:59:00Z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ies>
</file>