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54548656"/>
        <w:docPartObj>
          <w:docPartGallery w:val="Cover Pages"/>
          <w:docPartUnique/>
        </w:docPartObj>
      </w:sdtPr>
      <w:sdtEndPr/>
      <w:sdtContent>
        <w:commentRangeStart w:id="0" w:displacedByCustomXml="prev"/>
        <w:p w14:paraId="0C74BA0E" w14:textId="37BA3DFD" w:rsidR="0041703E" w:rsidRPr="00115061" w:rsidRDefault="00F455CD">
          <w:pPr>
            <w:rPr>
              <w:lang w:val="en-GB"/>
            </w:rPr>
          </w:pPr>
          <w:r>
            <w:rPr>
              <w:noProof/>
            </w:rPr>
            <mc:AlternateContent>
              <mc:Choice Requires="wps">
                <w:drawing>
                  <wp:anchor distT="0" distB="0" distL="114300" distR="114300" simplePos="0" relativeHeight="251661312" behindDoc="1" locked="0" layoutInCell="1" allowOverlap="1" wp14:anchorId="704964F8" wp14:editId="098468EF">
                    <wp:simplePos x="0" y="0"/>
                    <wp:positionH relativeFrom="column">
                      <wp:posOffset>-450850</wp:posOffset>
                    </wp:positionH>
                    <wp:positionV relativeFrom="paragraph">
                      <wp:posOffset>-476885</wp:posOffset>
                    </wp:positionV>
                    <wp:extent cx="6858000" cy="54597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545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C74BB39" w14:textId="042C26B6" w:rsidR="00620EA8" w:rsidRPr="00BE2B87" w:rsidRDefault="00415DD0">
                                    <w:pPr>
                                      <w:pStyle w:val="NoSpacing"/>
                                      <w:pBdr>
                                        <w:bottom w:val="single" w:sz="6" w:space="4" w:color="9D9D9D" w:themeColor="text1" w:themeTint="80"/>
                                      </w:pBdr>
                                      <w:rPr>
                                        <w:rFonts w:ascii="Quicksand" w:eastAsiaTheme="majorEastAsia" w:hAnsi="Quicksand" w:cstheme="majorBidi"/>
                                        <w:color w:val="808080" w:themeColor="text1" w:themeTint="A6"/>
                                        <w:sz w:val="72"/>
                                        <w:szCs w:val="72"/>
                                      </w:rPr>
                                    </w:pPr>
                                    <w:r w:rsidRPr="009F08C7">
                                      <w:rPr>
                                        <w:rFonts w:eastAsiaTheme="majorEastAsia" w:cstheme="majorBidi"/>
                                        <w:color w:val="808080" w:themeColor="text1" w:themeTint="A6"/>
                                        <w:sz w:val="72"/>
                                        <w:szCs w:val="72"/>
                                      </w:rPr>
                                      <w:t>Template: Assessment Report</w:t>
                                    </w:r>
                                    <w:r>
                                      <w:rPr>
                                        <w:rFonts w:eastAsiaTheme="majorEastAsia" w:cstheme="majorBidi"/>
                                        <w:color w:val="808080" w:themeColor="text1" w:themeTint="A6"/>
                                        <w:sz w:val="72"/>
                                        <w:szCs w:val="72"/>
                                      </w:rPr>
                                      <w:t xml:space="preserve"> under the </w:t>
                                    </w:r>
                                    <w:r w:rsidRPr="005C2799">
                                      <w:rPr>
                                        <w:rFonts w:eastAsiaTheme="majorEastAsia" w:cstheme="majorBidi"/>
                                        <w:color w:val="808080" w:themeColor="text1" w:themeTint="A6"/>
                                        <w:sz w:val="72"/>
                                        <w:szCs w:val="72"/>
                                      </w:rPr>
                                      <w:t>Professionalisation</w:t>
                                    </w:r>
                                    <w:r>
                                      <w:rPr>
                                        <w:rFonts w:eastAsiaTheme="majorEastAsia" w:cstheme="majorBidi"/>
                                        <w:color w:val="808080" w:themeColor="text1" w:themeTint="A6"/>
                                        <w:sz w:val="72"/>
                                        <w:szCs w:val="72"/>
                                      </w:rPr>
                                      <w:t xml:space="preserve"> module</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C74BB3A" w14:textId="56757C0F" w:rsidR="00620EA8" w:rsidRDefault="008D08CE">
                                    <w:pPr>
                                      <w:pStyle w:val="NoSpacing"/>
                                      <w:spacing w:before="240"/>
                                      <w:rPr>
                                        <w:caps/>
                                        <w:color w:val="3C3C3C" w:themeColor="text2"/>
                                        <w:sz w:val="36"/>
                                        <w:szCs w:val="36"/>
                                      </w:rPr>
                                    </w:pPr>
                                    <w:r>
                                      <w:rPr>
                                        <w:caps/>
                                        <w:color w:val="3C3C3C" w:themeColor="text2"/>
                                        <w:sz w:val="36"/>
                                        <w:szCs w:val="36"/>
                                      </w:rPr>
                                      <w:t xml:space="preserve">VERSION </w:t>
                                    </w:r>
                                    <w:r w:rsidR="00163F0C">
                                      <w:rPr>
                                        <w:caps/>
                                        <w:color w:val="3C3C3C" w:themeColor="text2"/>
                                        <w:sz w:val="36"/>
                                        <w:szCs w:val="36"/>
                                      </w:rPr>
                                      <w:t>1</w:t>
                                    </w:r>
                                    <w:r>
                                      <w:rPr>
                                        <w:caps/>
                                        <w:color w:val="3C3C3C" w:themeColor="text2"/>
                                        <w:sz w:val="36"/>
                                        <w:szCs w:val="36"/>
                                      </w:rPr>
                                      <w:t xml:space="preserve">.0 </w:t>
                                    </w:r>
                                    <w:r w:rsidR="00415DD0">
                                      <w:rPr>
                                        <w:caps/>
                                        <w:color w:val="3C3C3C" w:themeColor="text2"/>
                                        <w:sz w:val="36"/>
                                        <w:szCs w:val="36"/>
                                      </w:rPr>
                                      <w:t>–</w:t>
                                    </w:r>
                                    <w:r>
                                      <w:rPr>
                                        <w:caps/>
                                        <w:color w:val="3C3C3C" w:themeColor="text2"/>
                                        <w:sz w:val="36"/>
                                        <w:szCs w:val="36"/>
                                      </w:rPr>
                                      <w:t xml:space="preserve"> </w:t>
                                    </w:r>
                                    <w:r w:rsidR="00163F0C">
                                      <w:rPr>
                                        <w:caps/>
                                        <w:color w:val="3C3C3C" w:themeColor="text2"/>
                                        <w:sz w:val="36"/>
                                        <w:szCs w:val="36"/>
                                      </w:rPr>
                                      <w:t>Ma</w:t>
                                    </w:r>
                                    <w:r w:rsidR="00415DD0">
                                      <w:rPr>
                                        <w:caps/>
                                        <w:color w:val="3C3C3C" w:themeColor="text2"/>
                                        <w:sz w:val="36"/>
                                        <w:szCs w:val="36"/>
                                      </w:rPr>
                                      <w:t>Y</w:t>
                                    </w:r>
                                    <w:r w:rsidR="008D0CEB">
                                      <w:rPr>
                                        <w:caps/>
                                        <w:color w:val="3C3C3C" w:themeColor="text2"/>
                                        <w:sz w:val="36"/>
                                        <w:szCs w:val="36"/>
                                      </w:rPr>
                                      <w:t xml:space="preserve"> 2023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04964F8" id="_x0000_t202" coordsize="21600,21600" o:spt="202" path="m,l,21600r21600,l21600,xe">
                    <v:stroke joinstyle="miter"/>
                    <v:path gradientshapeok="t" o:connecttype="rect"/>
                  </v:shapetype>
                  <v:shape id="Text Box 5" o:spid="_x0000_s1026" type="#_x0000_t202" style="position:absolute;left:0;text-align:left;margin-left:-35.5pt;margin-top:-37.55pt;width:540pt;height:42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" filled="f" stroked="f" strokeweight=".5pt">
                    <v:textbox inset="36pt,36pt,36pt,36pt">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C74BB39" w14:textId="042C26B6" w:rsidR="00620EA8" w:rsidRPr="00BE2B87" w:rsidRDefault="00415DD0">
                              <w:pPr>
                                <w:pStyle w:val="NoSpacing"/>
                                <w:pBdr>
                                  <w:bottom w:val="single" w:sz="6" w:space="4" w:color="9D9D9D" w:themeColor="text1" w:themeTint="80"/>
                                </w:pBdr>
                                <w:rPr>
                                  <w:rFonts w:ascii="Quicksand" w:eastAsiaTheme="majorEastAsia" w:hAnsi="Quicksand" w:cstheme="majorBidi"/>
                                  <w:color w:val="808080" w:themeColor="text1" w:themeTint="A6"/>
                                  <w:sz w:val="72"/>
                                  <w:szCs w:val="72"/>
                                </w:rPr>
                              </w:pPr>
                              <w:r w:rsidRPr="009F08C7">
                                <w:rPr>
                                  <w:rFonts w:eastAsiaTheme="majorEastAsia" w:cstheme="majorBidi"/>
                                  <w:color w:val="808080" w:themeColor="text1" w:themeTint="A6"/>
                                  <w:sz w:val="72"/>
                                  <w:szCs w:val="72"/>
                                </w:rPr>
                                <w:t>Template: Assessment Report</w:t>
                              </w:r>
                              <w:r>
                                <w:rPr>
                                  <w:rFonts w:eastAsiaTheme="majorEastAsia" w:cstheme="majorBidi"/>
                                  <w:color w:val="808080" w:themeColor="text1" w:themeTint="A6"/>
                                  <w:sz w:val="72"/>
                                  <w:szCs w:val="72"/>
                                </w:rPr>
                                <w:t xml:space="preserve"> under the </w:t>
                              </w:r>
                              <w:r w:rsidRPr="005C2799">
                                <w:rPr>
                                  <w:rFonts w:eastAsiaTheme="majorEastAsia" w:cstheme="majorBidi"/>
                                  <w:color w:val="808080" w:themeColor="text1" w:themeTint="A6"/>
                                  <w:sz w:val="72"/>
                                  <w:szCs w:val="72"/>
                                </w:rPr>
                                <w:t>Professionalisation</w:t>
                              </w:r>
                              <w:r>
                                <w:rPr>
                                  <w:rFonts w:eastAsiaTheme="majorEastAsia" w:cstheme="majorBidi"/>
                                  <w:color w:val="808080" w:themeColor="text1" w:themeTint="A6"/>
                                  <w:sz w:val="72"/>
                                  <w:szCs w:val="72"/>
                                </w:rPr>
                                <w:t xml:space="preserve"> module</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C74BB3A" w14:textId="56757C0F" w:rsidR="00620EA8" w:rsidRDefault="008D08CE">
                              <w:pPr>
                                <w:pStyle w:val="NoSpacing"/>
                                <w:spacing w:before="240"/>
                                <w:rPr>
                                  <w:caps/>
                                  <w:color w:val="3C3C3C" w:themeColor="text2"/>
                                  <w:sz w:val="36"/>
                                  <w:szCs w:val="36"/>
                                </w:rPr>
                              </w:pPr>
                              <w:r>
                                <w:rPr>
                                  <w:caps/>
                                  <w:color w:val="3C3C3C" w:themeColor="text2"/>
                                  <w:sz w:val="36"/>
                                  <w:szCs w:val="36"/>
                                </w:rPr>
                                <w:t xml:space="preserve">VERSION </w:t>
                              </w:r>
                              <w:r w:rsidR="00163F0C">
                                <w:rPr>
                                  <w:caps/>
                                  <w:color w:val="3C3C3C" w:themeColor="text2"/>
                                  <w:sz w:val="36"/>
                                  <w:szCs w:val="36"/>
                                </w:rPr>
                                <w:t>1</w:t>
                              </w:r>
                              <w:r>
                                <w:rPr>
                                  <w:caps/>
                                  <w:color w:val="3C3C3C" w:themeColor="text2"/>
                                  <w:sz w:val="36"/>
                                  <w:szCs w:val="36"/>
                                </w:rPr>
                                <w:t xml:space="preserve">.0 </w:t>
                              </w:r>
                              <w:r w:rsidR="00415DD0">
                                <w:rPr>
                                  <w:caps/>
                                  <w:color w:val="3C3C3C" w:themeColor="text2"/>
                                  <w:sz w:val="36"/>
                                  <w:szCs w:val="36"/>
                                </w:rPr>
                                <w:t>–</w:t>
                              </w:r>
                              <w:r>
                                <w:rPr>
                                  <w:caps/>
                                  <w:color w:val="3C3C3C" w:themeColor="text2"/>
                                  <w:sz w:val="36"/>
                                  <w:szCs w:val="36"/>
                                </w:rPr>
                                <w:t xml:space="preserve"> </w:t>
                              </w:r>
                              <w:r w:rsidR="00163F0C">
                                <w:rPr>
                                  <w:caps/>
                                  <w:color w:val="3C3C3C" w:themeColor="text2"/>
                                  <w:sz w:val="36"/>
                                  <w:szCs w:val="36"/>
                                </w:rPr>
                                <w:t>Ma</w:t>
                              </w:r>
                              <w:r w:rsidR="00415DD0">
                                <w:rPr>
                                  <w:caps/>
                                  <w:color w:val="3C3C3C" w:themeColor="text2"/>
                                  <w:sz w:val="36"/>
                                  <w:szCs w:val="36"/>
                                </w:rPr>
                                <w:t>Y</w:t>
                              </w:r>
                              <w:r w:rsidR="008D0CEB">
                                <w:rPr>
                                  <w:caps/>
                                  <w:color w:val="3C3C3C" w:themeColor="text2"/>
                                  <w:sz w:val="36"/>
                                  <w:szCs w:val="36"/>
                                </w:rPr>
                                <w:t xml:space="preserve"> 2023</w:t>
                              </w:r>
                            </w:p>
                          </w:sdtContent>
                        </w:sdt>
                      </w:txbxContent>
                    </v:textbox>
                  </v:shape>
                </w:pict>
              </mc:Fallback>
            </mc:AlternateContent>
          </w:r>
          <w:r w:rsidR="009C20D9" w:rsidRPr="00115061">
            <w:rPr>
              <w:noProof/>
              <w:lang w:val="en-GB" w:eastAsia="en-GB"/>
            </w:rPr>
            <w:drawing>
              <wp:anchor distT="0" distB="0" distL="114300" distR="114300" simplePos="0" relativeHeight="251656192" behindDoc="0" locked="0" layoutInCell="1" allowOverlap="1" wp14:anchorId="0C74BB2C" wp14:editId="0C74BB2D">
                <wp:simplePos x="0" y="0"/>
                <wp:positionH relativeFrom="margin">
                  <wp:posOffset>-157480</wp:posOffset>
                </wp:positionH>
                <wp:positionV relativeFrom="paragraph">
                  <wp:posOffset>-119822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anchor>
            </w:drawing>
          </w:r>
          <w:commentRangeEnd w:id="0"/>
          <w:r w:rsidR="007C767F">
            <w:rPr>
              <w:rStyle w:val="CommentReference"/>
            </w:rPr>
            <w:commentReference w:id="0"/>
          </w:r>
        </w:p>
        <w:p w14:paraId="0C74BA0F" w14:textId="77777777" w:rsidR="0041703E" w:rsidRPr="00115061" w:rsidRDefault="009C20D9">
          <w:pPr>
            <w:rPr>
              <w:lang w:val="en-GB"/>
            </w:rPr>
          </w:pPr>
          <w:r w:rsidRPr="00115061">
            <w:rPr>
              <w:noProof/>
              <w:lang w:val="en-GB" w:eastAsia="en-GB"/>
            </w:rPr>
            <w:drawing>
              <wp:anchor distT="0" distB="0" distL="114300" distR="114300" simplePos="0" relativeHeight="251654144" behindDoc="0" locked="0" layoutInCell="1" allowOverlap="1" wp14:anchorId="0C74BB2E" wp14:editId="0C74BB2F">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anchor>
            </w:drawing>
          </w:r>
          <w:r w:rsidR="0041703E" w:rsidRPr="00115061">
            <w:rPr>
              <w:lang w:val="en-GB"/>
            </w:rPr>
            <w:br w:type="page"/>
          </w:r>
        </w:p>
      </w:sdtContent>
    </w:sdt>
    <w:p w14:paraId="0C74BA10" w14:textId="77777777" w:rsidR="005C3221" w:rsidRPr="00115061" w:rsidRDefault="005C3221">
      <w:pPr>
        <w:rPr>
          <w:lang w:val="en-GB"/>
        </w:rPr>
      </w:pPr>
    </w:p>
    <w:p w14:paraId="0C74BA11" w14:textId="77777777" w:rsidR="005C3221" w:rsidRPr="00115061" w:rsidRDefault="005C3221">
      <w:pPr>
        <w:rPr>
          <w:lang w:val="en-GB"/>
        </w:rPr>
      </w:pPr>
    </w:p>
    <w:p w14:paraId="0C74BA12" w14:textId="77777777" w:rsidR="005C3221" w:rsidRPr="00115061" w:rsidRDefault="005C3221">
      <w:pPr>
        <w:rPr>
          <w:lang w:val="en-GB"/>
        </w:rPr>
      </w:pPr>
    </w:p>
    <w:p w14:paraId="0C74BA13" w14:textId="77777777" w:rsidR="005C3221" w:rsidRPr="00115061" w:rsidRDefault="005C3221">
      <w:pPr>
        <w:rPr>
          <w:lang w:val="en-GB"/>
        </w:rPr>
      </w:pPr>
      <w:r w:rsidRPr="00115061">
        <w:rPr>
          <w:noProof/>
          <w:lang w:val="en-GB" w:eastAsia="en-GB"/>
        </w:rPr>
        <w:drawing>
          <wp:anchor distT="0" distB="0" distL="114300" distR="114300" simplePos="0" relativeHeight="251658240" behindDoc="0" locked="0" layoutInCell="1" allowOverlap="1" wp14:anchorId="0C74BB30" wp14:editId="0C74BB31">
            <wp:simplePos x="0" y="0"/>
            <wp:positionH relativeFrom="margin">
              <wp:posOffset>-5080</wp:posOffset>
            </wp:positionH>
            <wp:positionV relativeFrom="paragraph">
              <wp:posOffset>-1109345</wp:posOffset>
            </wp:positionV>
            <wp:extent cx="6101372" cy="12854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anchor>
        </w:drawing>
      </w:r>
    </w:p>
    <w:p w14:paraId="0C74BA14" w14:textId="77777777" w:rsidR="005C3221" w:rsidRPr="00115061" w:rsidRDefault="005C3221" w:rsidP="00E0323D">
      <w:pPr>
        <w:pStyle w:val="Title"/>
        <w:rPr>
          <w:lang w:val="en-GB"/>
        </w:rPr>
      </w:pPr>
    </w:p>
    <w:p w14:paraId="0C74BA15" w14:textId="77777777" w:rsidR="005C3221" w:rsidRPr="00115061" w:rsidRDefault="00D41792" w:rsidP="00751E36">
      <w:pPr>
        <w:pStyle w:val="Title"/>
        <w:pBdr>
          <w:bottom w:val="single" w:sz="6" w:space="1" w:color="auto"/>
        </w:pBdr>
        <w:jc w:val="center"/>
        <w:rPr>
          <w:lang w:val="en-GB"/>
        </w:rPr>
      </w:pPr>
      <w:r w:rsidRPr="00115061">
        <w:rPr>
          <w:lang w:val="en-GB"/>
        </w:rPr>
        <w:t>[Name of country]</w:t>
      </w:r>
    </w:p>
    <w:p w14:paraId="0C74BA16" w14:textId="77777777" w:rsidR="00E0323D" w:rsidRPr="00115061" w:rsidRDefault="00E0323D" w:rsidP="00E0323D">
      <w:pPr>
        <w:pStyle w:val="Title"/>
        <w:rPr>
          <w:lang w:val="en-GB"/>
        </w:rPr>
      </w:pPr>
    </w:p>
    <w:p w14:paraId="0C74BA17" w14:textId="77777777" w:rsidR="00D41792" w:rsidRPr="00115061" w:rsidRDefault="00D41792" w:rsidP="00DD78E5">
      <w:pPr>
        <w:pStyle w:val="Title"/>
        <w:jc w:val="center"/>
        <w:rPr>
          <w:lang w:val="en-GB"/>
        </w:rPr>
      </w:pPr>
      <w:commentRangeStart w:id="1"/>
      <w:commentRangeStart w:id="2"/>
      <w:r w:rsidRPr="00115061">
        <w:rPr>
          <w:lang w:val="en-GB"/>
        </w:rPr>
        <w:t>Assessment</w:t>
      </w:r>
      <w:commentRangeEnd w:id="1"/>
      <w:r w:rsidR="007C5D94" w:rsidRPr="00115061">
        <w:rPr>
          <w:rStyle w:val="CommentReference"/>
          <w:rFonts w:eastAsiaTheme="minorEastAsia" w:cstheme="minorBidi"/>
          <w:lang w:val="en-GB"/>
        </w:rPr>
        <w:commentReference w:id="1"/>
      </w:r>
      <w:r w:rsidRPr="00115061">
        <w:rPr>
          <w:lang w:val="en-GB"/>
        </w:rPr>
        <w:t xml:space="preserve"> of the Public Procurement system</w:t>
      </w:r>
      <w:commentRangeEnd w:id="2"/>
      <w:r w:rsidR="006A026C">
        <w:rPr>
          <w:rStyle w:val="CommentReference"/>
          <w:rFonts w:eastAsiaTheme="minorEastAsia" w:cstheme="minorBidi"/>
        </w:rPr>
        <w:commentReference w:id="2"/>
      </w:r>
    </w:p>
    <w:p w14:paraId="0C74BA18" w14:textId="77777777" w:rsidR="00D41792" w:rsidRPr="00115061" w:rsidRDefault="00D41792" w:rsidP="00D41792">
      <w:pPr>
        <w:spacing w:line="360" w:lineRule="auto"/>
        <w:jc w:val="center"/>
        <w:rPr>
          <w:rFonts w:eastAsiaTheme="majorEastAsia" w:cstheme="majorBidi"/>
          <w:color w:val="auto"/>
          <w:sz w:val="36"/>
          <w:szCs w:val="36"/>
          <w:lang w:val="en-GB"/>
        </w:rPr>
      </w:pPr>
      <w:r w:rsidRPr="00115061">
        <w:rPr>
          <w:rFonts w:eastAsiaTheme="majorEastAsia" w:cstheme="majorBidi"/>
          <w:color w:val="auto"/>
          <w:sz w:val="36"/>
          <w:szCs w:val="36"/>
          <w:lang w:val="en-GB"/>
        </w:rPr>
        <w:t>[Date]</w:t>
      </w:r>
    </w:p>
    <w:p w14:paraId="0C74BA19" w14:textId="77777777" w:rsidR="00D41792" w:rsidRPr="00115061" w:rsidRDefault="00D41792" w:rsidP="00D41792">
      <w:pPr>
        <w:spacing w:line="360" w:lineRule="auto"/>
        <w:jc w:val="center"/>
        <w:rPr>
          <w:rFonts w:eastAsiaTheme="majorEastAsia" w:cstheme="majorBidi"/>
          <w:color w:val="auto"/>
          <w:sz w:val="36"/>
          <w:szCs w:val="36"/>
          <w:lang w:val="en-GB"/>
        </w:rPr>
      </w:pPr>
    </w:p>
    <w:p w14:paraId="0C74BA1A" w14:textId="77777777" w:rsidR="00D41792" w:rsidRPr="00115061" w:rsidRDefault="00D41792" w:rsidP="00D41792">
      <w:pPr>
        <w:spacing w:line="360" w:lineRule="auto"/>
        <w:jc w:val="center"/>
        <w:rPr>
          <w:rFonts w:eastAsiaTheme="majorEastAsia" w:cstheme="majorBidi"/>
          <w:color w:val="auto"/>
          <w:sz w:val="36"/>
          <w:szCs w:val="36"/>
          <w:lang w:val="en-GB"/>
        </w:rPr>
      </w:pPr>
    </w:p>
    <w:p w14:paraId="0C74BA1B" w14:textId="77777777" w:rsidR="00D41792" w:rsidRPr="00115061" w:rsidRDefault="00D41792" w:rsidP="00D41792">
      <w:pPr>
        <w:spacing w:line="360" w:lineRule="auto"/>
        <w:jc w:val="center"/>
        <w:rPr>
          <w:rFonts w:eastAsiaTheme="majorEastAsia" w:cstheme="majorBidi"/>
          <w:color w:val="auto"/>
          <w:sz w:val="36"/>
          <w:szCs w:val="36"/>
          <w:lang w:val="en-GB"/>
        </w:rPr>
      </w:pPr>
    </w:p>
    <w:p w14:paraId="0C74BA1C" w14:textId="77777777" w:rsidR="00D41792" w:rsidRPr="00115061" w:rsidRDefault="00D41792" w:rsidP="00D41792">
      <w:pPr>
        <w:spacing w:line="360" w:lineRule="auto"/>
        <w:jc w:val="center"/>
        <w:rPr>
          <w:rFonts w:eastAsiaTheme="majorEastAsia" w:cstheme="majorBidi"/>
          <w:color w:val="auto"/>
          <w:sz w:val="36"/>
          <w:szCs w:val="36"/>
          <w:lang w:val="en-GB"/>
        </w:rPr>
      </w:pPr>
    </w:p>
    <w:p w14:paraId="0C74BA1D" w14:textId="77777777" w:rsidR="00E0323D" w:rsidRPr="00115061" w:rsidRDefault="00E0323D" w:rsidP="00E0323D">
      <w:pPr>
        <w:spacing w:line="360" w:lineRule="auto"/>
        <w:jc w:val="center"/>
        <w:rPr>
          <w:rFonts w:eastAsiaTheme="majorEastAsia" w:cstheme="majorBidi"/>
          <w:color w:val="auto"/>
          <w:sz w:val="36"/>
          <w:szCs w:val="36"/>
          <w:lang w:val="en-GB"/>
        </w:rPr>
      </w:pPr>
      <w:r w:rsidRPr="00115061">
        <w:rPr>
          <w:rFonts w:eastAsiaTheme="majorEastAsia" w:cstheme="majorBidi"/>
          <w:color w:val="auto"/>
          <w:sz w:val="36"/>
          <w:szCs w:val="36"/>
          <w:lang w:val="en-GB"/>
        </w:rPr>
        <w:t>[Logos of main institutions]</w:t>
      </w:r>
    </w:p>
    <w:p w14:paraId="0C74BA1E" w14:textId="77777777" w:rsidR="00E0323D" w:rsidRPr="00115061" w:rsidRDefault="00E0323D" w:rsidP="00D41792">
      <w:pPr>
        <w:spacing w:line="360" w:lineRule="auto"/>
        <w:jc w:val="center"/>
        <w:rPr>
          <w:rFonts w:eastAsiaTheme="majorEastAsia" w:cstheme="majorBidi"/>
          <w:color w:val="auto"/>
          <w:sz w:val="36"/>
          <w:szCs w:val="36"/>
          <w:lang w:val="en-GB"/>
        </w:rPr>
      </w:pPr>
    </w:p>
    <w:p w14:paraId="0C74BA1F" w14:textId="77777777" w:rsidR="00DD78E5" w:rsidRPr="00115061" w:rsidRDefault="00DD78E5" w:rsidP="00DD78E5">
      <w:pPr>
        <w:pStyle w:val="TOCHeading"/>
        <w:rPr>
          <w:rFonts w:eastAsiaTheme="minorEastAsia" w:cstheme="minorBidi"/>
          <w:bCs w:val="0"/>
          <w:sz w:val="22"/>
          <w:szCs w:val="22"/>
          <w:lang w:val="en-GB"/>
        </w:rPr>
      </w:pPr>
    </w:p>
    <w:p w14:paraId="5779A4BF" w14:textId="2D02903E" w:rsidR="00020CCC" w:rsidRPr="00115061" w:rsidRDefault="00DD78E5" w:rsidP="00020CCC">
      <w:pPr>
        <w:pStyle w:val="Heading1"/>
        <w:rPr>
          <w:lang w:val="en-GB"/>
        </w:rPr>
      </w:pPr>
      <w:r w:rsidRPr="00115061">
        <w:rPr>
          <w:lang w:val="en-GB"/>
        </w:rPr>
        <w:br w:type="page"/>
      </w:r>
      <w:bookmarkStart w:id="3" w:name="_Toc131084383"/>
      <w:r w:rsidR="00020CCC" w:rsidRPr="00115061">
        <w:rPr>
          <w:lang w:val="en-GB"/>
        </w:rPr>
        <w:lastRenderedPageBreak/>
        <w:t>Intellectual property disclaimers</w:t>
      </w:r>
      <w:bookmarkEnd w:id="3"/>
    </w:p>
    <w:p w14:paraId="0C74BA20" w14:textId="70B21FBB" w:rsidR="00020CCC" w:rsidRPr="00115061" w:rsidRDefault="00020CCC">
      <w:pPr>
        <w:jc w:val="left"/>
        <w:rPr>
          <w:bCs/>
          <w:lang w:val="en-GB"/>
        </w:rPr>
      </w:pPr>
      <w:r w:rsidRPr="00115061">
        <w:rPr>
          <w:bCs/>
          <w:lang w:val="en-GB"/>
        </w:rPr>
        <w:br w:type="page"/>
      </w:r>
    </w:p>
    <w:p w14:paraId="2E3BF7A4" w14:textId="77777777" w:rsidR="00DD78E5" w:rsidRPr="00115061" w:rsidRDefault="00DD78E5">
      <w:pPr>
        <w:jc w:val="left"/>
        <w:rPr>
          <w:lang w:val="en-GB"/>
        </w:rPr>
      </w:pPr>
    </w:p>
    <w:sdt>
      <w:sdtPr>
        <w:rPr>
          <w:rFonts w:eastAsiaTheme="minorEastAsia" w:cstheme="minorBidi"/>
          <w:bCs w:val="0"/>
          <w:sz w:val="22"/>
          <w:szCs w:val="22"/>
          <w:lang w:val="en-GB"/>
        </w:rPr>
        <w:id w:val="-1426259669"/>
        <w:docPartObj>
          <w:docPartGallery w:val="Table of Contents"/>
          <w:docPartUnique/>
        </w:docPartObj>
      </w:sdtPr>
      <w:sdtEndPr>
        <w:rPr>
          <w:b/>
          <w:noProof/>
        </w:rPr>
      </w:sdtEndPr>
      <w:sdtContent>
        <w:p w14:paraId="10CFE6D2" w14:textId="77777777" w:rsidR="00042327" w:rsidRDefault="00DD78E5" w:rsidP="00DD78E5">
          <w:pPr>
            <w:pStyle w:val="TOCHeading"/>
            <w:rPr>
              <w:noProof/>
            </w:rPr>
          </w:pPr>
          <w:r w:rsidRPr="00115061">
            <w:rPr>
              <w:lang w:val="en-GB"/>
            </w:rPr>
            <w:t>Table of C</w:t>
          </w:r>
          <w:r w:rsidR="00E0323D" w:rsidRPr="00115061">
            <w:rPr>
              <w:lang w:val="en-GB"/>
            </w:rPr>
            <w:t>ontents</w:t>
          </w:r>
          <w:r w:rsidR="00132AC2" w:rsidRPr="00115061">
            <w:rPr>
              <w:bCs w:val="0"/>
              <w:lang w:val="en-GB"/>
            </w:rPr>
            <w:fldChar w:fldCharType="begin"/>
          </w:r>
          <w:r w:rsidR="00E0323D" w:rsidRPr="00115061">
            <w:rPr>
              <w:lang w:val="en-GB"/>
            </w:rPr>
            <w:instrText xml:space="preserve"> TOC \o "1-3" \h \z \u </w:instrText>
          </w:r>
          <w:r w:rsidR="00132AC2" w:rsidRPr="00115061">
            <w:rPr>
              <w:bCs w:val="0"/>
              <w:lang w:val="en-GB"/>
            </w:rPr>
            <w:fldChar w:fldCharType="separate"/>
          </w:r>
        </w:p>
        <w:p w14:paraId="12D6B160" w14:textId="74E73652" w:rsidR="00042327" w:rsidRDefault="00415DD0">
          <w:pPr>
            <w:pStyle w:val="TOC1"/>
            <w:tabs>
              <w:tab w:val="right" w:leader="dot" w:pos="9350"/>
            </w:tabs>
            <w:rPr>
              <w:noProof/>
              <w:color w:val="auto"/>
              <w:lang w:eastAsia="en-US"/>
            </w:rPr>
          </w:pPr>
          <w:hyperlink w:anchor="_Toc131084383" w:history="1">
            <w:r w:rsidR="00042327" w:rsidRPr="0055531E">
              <w:rPr>
                <w:rStyle w:val="Hyperlink"/>
                <w:noProof/>
                <w:lang w:val="en-GB"/>
              </w:rPr>
              <w:t>Intellectual property disclaimers</w:t>
            </w:r>
            <w:r w:rsidR="00042327">
              <w:rPr>
                <w:noProof/>
                <w:webHidden/>
              </w:rPr>
              <w:tab/>
            </w:r>
            <w:r w:rsidR="00042327">
              <w:rPr>
                <w:noProof/>
                <w:webHidden/>
              </w:rPr>
              <w:fldChar w:fldCharType="begin"/>
            </w:r>
            <w:r w:rsidR="00042327">
              <w:rPr>
                <w:noProof/>
                <w:webHidden/>
              </w:rPr>
              <w:instrText xml:space="preserve"> PAGEREF _Toc131084383 \h </w:instrText>
            </w:r>
            <w:r w:rsidR="00042327">
              <w:rPr>
                <w:noProof/>
                <w:webHidden/>
              </w:rPr>
            </w:r>
            <w:r w:rsidR="00042327">
              <w:rPr>
                <w:noProof/>
                <w:webHidden/>
              </w:rPr>
              <w:fldChar w:fldCharType="separate"/>
            </w:r>
            <w:r w:rsidR="00042327">
              <w:rPr>
                <w:noProof/>
                <w:webHidden/>
              </w:rPr>
              <w:t>2</w:t>
            </w:r>
            <w:r w:rsidR="00042327">
              <w:rPr>
                <w:noProof/>
                <w:webHidden/>
              </w:rPr>
              <w:fldChar w:fldCharType="end"/>
            </w:r>
          </w:hyperlink>
        </w:p>
        <w:p w14:paraId="515F745C" w14:textId="61C646CA" w:rsidR="00042327" w:rsidRDefault="00415DD0">
          <w:pPr>
            <w:pStyle w:val="TOC1"/>
            <w:tabs>
              <w:tab w:val="right" w:leader="dot" w:pos="9350"/>
            </w:tabs>
            <w:rPr>
              <w:noProof/>
              <w:color w:val="auto"/>
              <w:lang w:eastAsia="en-US"/>
            </w:rPr>
          </w:pPr>
          <w:hyperlink w:anchor="_Toc131084384" w:history="1">
            <w:r w:rsidR="00042327" w:rsidRPr="0055531E">
              <w:rPr>
                <w:rStyle w:val="Hyperlink"/>
                <w:noProof/>
                <w:lang w:val="en-GB"/>
              </w:rPr>
              <w:t>Acronyms</w:t>
            </w:r>
            <w:r w:rsidR="00042327">
              <w:rPr>
                <w:noProof/>
                <w:webHidden/>
              </w:rPr>
              <w:tab/>
            </w:r>
            <w:r w:rsidR="00042327">
              <w:rPr>
                <w:noProof/>
                <w:webHidden/>
              </w:rPr>
              <w:fldChar w:fldCharType="begin"/>
            </w:r>
            <w:r w:rsidR="00042327">
              <w:rPr>
                <w:noProof/>
                <w:webHidden/>
              </w:rPr>
              <w:instrText xml:space="preserve"> PAGEREF _Toc131084384 \h </w:instrText>
            </w:r>
            <w:r w:rsidR="00042327">
              <w:rPr>
                <w:noProof/>
                <w:webHidden/>
              </w:rPr>
            </w:r>
            <w:r w:rsidR="00042327">
              <w:rPr>
                <w:noProof/>
                <w:webHidden/>
              </w:rPr>
              <w:fldChar w:fldCharType="separate"/>
            </w:r>
            <w:r w:rsidR="00042327">
              <w:rPr>
                <w:noProof/>
                <w:webHidden/>
              </w:rPr>
              <w:t>5</w:t>
            </w:r>
            <w:r w:rsidR="00042327">
              <w:rPr>
                <w:noProof/>
                <w:webHidden/>
              </w:rPr>
              <w:fldChar w:fldCharType="end"/>
            </w:r>
          </w:hyperlink>
        </w:p>
        <w:p w14:paraId="55FFC802" w14:textId="772A4D26" w:rsidR="00042327" w:rsidRDefault="00415DD0">
          <w:pPr>
            <w:pStyle w:val="TOC1"/>
            <w:tabs>
              <w:tab w:val="right" w:leader="dot" w:pos="9350"/>
            </w:tabs>
            <w:rPr>
              <w:noProof/>
              <w:color w:val="auto"/>
              <w:lang w:eastAsia="en-US"/>
            </w:rPr>
          </w:pPr>
          <w:hyperlink w:anchor="_Toc131084385" w:history="1">
            <w:r w:rsidR="00042327" w:rsidRPr="0055531E">
              <w:rPr>
                <w:rStyle w:val="Hyperlink"/>
                <w:noProof/>
                <w:lang w:val="en-GB"/>
              </w:rPr>
              <w:t>Executive summary</w:t>
            </w:r>
            <w:r w:rsidR="00042327">
              <w:rPr>
                <w:noProof/>
                <w:webHidden/>
              </w:rPr>
              <w:tab/>
            </w:r>
            <w:r w:rsidR="00042327">
              <w:rPr>
                <w:noProof/>
                <w:webHidden/>
              </w:rPr>
              <w:fldChar w:fldCharType="begin"/>
            </w:r>
            <w:r w:rsidR="00042327">
              <w:rPr>
                <w:noProof/>
                <w:webHidden/>
              </w:rPr>
              <w:instrText xml:space="preserve"> PAGEREF _Toc131084385 \h </w:instrText>
            </w:r>
            <w:r w:rsidR="00042327">
              <w:rPr>
                <w:noProof/>
                <w:webHidden/>
              </w:rPr>
            </w:r>
            <w:r w:rsidR="00042327">
              <w:rPr>
                <w:noProof/>
                <w:webHidden/>
              </w:rPr>
              <w:fldChar w:fldCharType="separate"/>
            </w:r>
            <w:r w:rsidR="00042327">
              <w:rPr>
                <w:noProof/>
                <w:webHidden/>
              </w:rPr>
              <w:t>6</w:t>
            </w:r>
            <w:r w:rsidR="00042327">
              <w:rPr>
                <w:noProof/>
                <w:webHidden/>
              </w:rPr>
              <w:fldChar w:fldCharType="end"/>
            </w:r>
          </w:hyperlink>
        </w:p>
        <w:p w14:paraId="50A8E5B8" w14:textId="774F32CA" w:rsidR="00042327" w:rsidRDefault="00415DD0">
          <w:pPr>
            <w:pStyle w:val="TOC3"/>
            <w:tabs>
              <w:tab w:val="right" w:leader="dot" w:pos="9350"/>
            </w:tabs>
            <w:rPr>
              <w:noProof/>
              <w:color w:val="auto"/>
              <w:lang w:eastAsia="en-US"/>
            </w:rPr>
          </w:pPr>
          <w:hyperlink w:anchor="_Toc131084386" w:history="1">
            <w:r w:rsidR="00042327" w:rsidRPr="0055531E">
              <w:rPr>
                <w:rStyle w:val="Hyperlink"/>
                <w:noProof/>
                <w:lang w:val="en-GB"/>
              </w:rPr>
              <w:t>Overview of compliance</w:t>
            </w:r>
            <w:r w:rsidR="00042327">
              <w:rPr>
                <w:noProof/>
                <w:webHidden/>
              </w:rPr>
              <w:tab/>
            </w:r>
            <w:r w:rsidR="00042327">
              <w:rPr>
                <w:noProof/>
                <w:webHidden/>
              </w:rPr>
              <w:fldChar w:fldCharType="begin"/>
            </w:r>
            <w:r w:rsidR="00042327">
              <w:rPr>
                <w:noProof/>
                <w:webHidden/>
              </w:rPr>
              <w:instrText xml:space="preserve"> PAGEREF _Toc131084386 \h </w:instrText>
            </w:r>
            <w:r w:rsidR="00042327">
              <w:rPr>
                <w:noProof/>
                <w:webHidden/>
              </w:rPr>
            </w:r>
            <w:r w:rsidR="00042327">
              <w:rPr>
                <w:noProof/>
                <w:webHidden/>
              </w:rPr>
              <w:fldChar w:fldCharType="separate"/>
            </w:r>
            <w:r w:rsidR="00042327">
              <w:rPr>
                <w:noProof/>
                <w:webHidden/>
              </w:rPr>
              <w:t>6</w:t>
            </w:r>
            <w:r w:rsidR="00042327">
              <w:rPr>
                <w:noProof/>
                <w:webHidden/>
              </w:rPr>
              <w:fldChar w:fldCharType="end"/>
            </w:r>
          </w:hyperlink>
        </w:p>
        <w:p w14:paraId="7A819A62" w14:textId="51D69F36" w:rsidR="00042327" w:rsidRDefault="00415DD0">
          <w:pPr>
            <w:pStyle w:val="TOC1"/>
            <w:tabs>
              <w:tab w:val="right" w:leader="dot" w:pos="9350"/>
            </w:tabs>
            <w:rPr>
              <w:noProof/>
              <w:color w:val="auto"/>
              <w:lang w:eastAsia="en-US"/>
            </w:rPr>
          </w:pPr>
          <w:hyperlink w:anchor="_Toc131084387" w:history="1">
            <w:r w:rsidR="00042327" w:rsidRPr="0055531E">
              <w:rPr>
                <w:rStyle w:val="Hyperlink"/>
                <w:noProof/>
                <w:lang w:val="en-GB"/>
              </w:rPr>
              <w:t>1.  Introduction</w:t>
            </w:r>
            <w:r w:rsidR="00042327">
              <w:rPr>
                <w:noProof/>
                <w:webHidden/>
              </w:rPr>
              <w:tab/>
            </w:r>
            <w:r w:rsidR="00042327">
              <w:rPr>
                <w:noProof/>
                <w:webHidden/>
              </w:rPr>
              <w:fldChar w:fldCharType="begin"/>
            </w:r>
            <w:r w:rsidR="00042327">
              <w:rPr>
                <w:noProof/>
                <w:webHidden/>
              </w:rPr>
              <w:instrText xml:space="preserve"> PAGEREF _Toc131084387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590C99EF" w14:textId="2290E710" w:rsidR="00042327" w:rsidRDefault="00415DD0">
          <w:pPr>
            <w:pStyle w:val="TOC1"/>
            <w:tabs>
              <w:tab w:val="right" w:leader="dot" w:pos="9350"/>
            </w:tabs>
            <w:rPr>
              <w:noProof/>
              <w:color w:val="auto"/>
              <w:lang w:eastAsia="en-US"/>
            </w:rPr>
          </w:pPr>
          <w:hyperlink w:anchor="_Toc131084388" w:history="1">
            <w:r w:rsidR="00042327" w:rsidRPr="0055531E">
              <w:rPr>
                <w:rStyle w:val="Hyperlink"/>
                <w:noProof/>
                <w:lang w:val="en-GB"/>
              </w:rPr>
              <w:t>2. Analysis of Country Context</w:t>
            </w:r>
            <w:r w:rsidR="00042327">
              <w:rPr>
                <w:noProof/>
                <w:webHidden/>
              </w:rPr>
              <w:tab/>
            </w:r>
            <w:r w:rsidR="00042327">
              <w:rPr>
                <w:noProof/>
                <w:webHidden/>
              </w:rPr>
              <w:fldChar w:fldCharType="begin"/>
            </w:r>
            <w:r w:rsidR="00042327">
              <w:rPr>
                <w:noProof/>
                <w:webHidden/>
              </w:rPr>
              <w:instrText xml:space="preserve"> PAGEREF _Toc131084388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537A5B3C" w14:textId="36695D05" w:rsidR="00042327" w:rsidRDefault="00415DD0">
          <w:pPr>
            <w:pStyle w:val="TOC2"/>
            <w:tabs>
              <w:tab w:val="right" w:leader="dot" w:pos="9350"/>
            </w:tabs>
            <w:rPr>
              <w:noProof/>
              <w:color w:val="auto"/>
              <w:lang w:eastAsia="en-US"/>
            </w:rPr>
          </w:pPr>
          <w:hyperlink w:anchor="_Toc131084389" w:history="1">
            <w:r w:rsidR="00042327" w:rsidRPr="0055531E">
              <w:rPr>
                <w:rStyle w:val="Hyperlink"/>
                <w:noProof/>
                <w:lang w:val="en-GB"/>
              </w:rPr>
              <w:t>2.1. Political, economic and geostrategic situation of the country</w:t>
            </w:r>
            <w:r w:rsidR="00042327">
              <w:rPr>
                <w:noProof/>
                <w:webHidden/>
              </w:rPr>
              <w:tab/>
            </w:r>
            <w:r w:rsidR="00042327">
              <w:rPr>
                <w:noProof/>
                <w:webHidden/>
              </w:rPr>
              <w:fldChar w:fldCharType="begin"/>
            </w:r>
            <w:r w:rsidR="00042327">
              <w:rPr>
                <w:noProof/>
                <w:webHidden/>
              </w:rPr>
              <w:instrText xml:space="preserve"> PAGEREF _Toc131084389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180AFED7" w14:textId="43E2A86D" w:rsidR="00042327" w:rsidRDefault="00415DD0">
          <w:pPr>
            <w:pStyle w:val="TOC2"/>
            <w:tabs>
              <w:tab w:val="right" w:leader="dot" w:pos="9350"/>
            </w:tabs>
            <w:rPr>
              <w:noProof/>
              <w:color w:val="auto"/>
              <w:lang w:eastAsia="en-US"/>
            </w:rPr>
          </w:pPr>
          <w:hyperlink w:anchor="_Toc131084390" w:history="1">
            <w:r w:rsidR="00042327" w:rsidRPr="0055531E">
              <w:rPr>
                <w:rStyle w:val="Hyperlink"/>
                <w:noProof/>
                <w:lang w:val="en-GB"/>
              </w:rPr>
              <w:t>2.2. The Public Procurement System and its links with the public finance management and public governance systems</w:t>
            </w:r>
            <w:r w:rsidR="00042327">
              <w:rPr>
                <w:noProof/>
                <w:webHidden/>
              </w:rPr>
              <w:tab/>
            </w:r>
            <w:r w:rsidR="00042327">
              <w:rPr>
                <w:noProof/>
                <w:webHidden/>
              </w:rPr>
              <w:fldChar w:fldCharType="begin"/>
            </w:r>
            <w:r w:rsidR="00042327">
              <w:rPr>
                <w:noProof/>
                <w:webHidden/>
              </w:rPr>
              <w:instrText xml:space="preserve"> PAGEREF _Toc131084390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78DF431C" w14:textId="224533F4" w:rsidR="00042327" w:rsidRDefault="00415DD0">
          <w:pPr>
            <w:pStyle w:val="TOC2"/>
            <w:tabs>
              <w:tab w:val="right" w:leader="dot" w:pos="9350"/>
            </w:tabs>
            <w:rPr>
              <w:noProof/>
              <w:color w:val="auto"/>
              <w:lang w:eastAsia="en-US"/>
            </w:rPr>
          </w:pPr>
          <w:hyperlink w:anchor="_Toc131084391" w:history="1">
            <w:r w:rsidR="00042327" w:rsidRPr="0055531E">
              <w:rPr>
                <w:rStyle w:val="Hyperlink"/>
                <w:noProof/>
                <w:lang w:val="en-GB"/>
              </w:rPr>
              <w:t>2.3. National policy objectives and sustainable development goals</w:t>
            </w:r>
            <w:r w:rsidR="00042327">
              <w:rPr>
                <w:noProof/>
                <w:webHidden/>
              </w:rPr>
              <w:tab/>
            </w:r>
            <w:r w:rsidR="00042327">
              <w:rPr>
                <w:noProof/>
                <w:webHidden/>
              </w:rPr>
              <w:fldChar w:fldCharType="begin"/>
            </w:r>
            <w:r w:rsidR="00042327">
              <w:rPr>
                <w:noProof/>
                <w:webHidden/>
              </w:rPr>
              <w:instrText xml:space="preserve"> PAGEREF _Toc131084391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281E948A" w14:textId="73B0BA8A" w:rsidR="00042327" w:rsidRDefault="00415DD0">
          <w:pPr>
            <w:pStyle w:val="TOC2"/>
            <w:tabs>
              <w:tab w:val="right" w:leader="dot" w:pos="9350"/>
            </w:tabs>
            <w:rPr>
              <w:noProof/>
              <w:color w:val="auto"/>
              <w:lang w:eastAsia="en-US"/>
            </w:rPr>
          </w:pPr>
          <w:hyperlink w:anchor="_Toc131084392" w:history="1">
            <w:r w:rsidR="00042327" w:rsidRPr="0055531E">
              <w:rPr>
                <w:rStyle w:val="Hyperlink"/>
                <w:noProof/>
                <w:lang w:val="en-GB"/>
              </w:rPr>
              <w:t>2.4. Public Procurement Reform</w:t>
            </w:r>
            <w:r w:rsidR="00042327">
              <w:rPr>
                <w:noProof/>
                <w:webHidden/>
              </w:rPr>
              <w:tab/>
            </w:r>
            <w:r w:rsidR="00042327">
              <w:rPr>
                <w:noProof/>
                <w:webHidden/>
              </w:rPr>
              <w:fldChar w:fldCharType="begin"/>
            </w:r>
            <w:r w:rsidR="00042327">
              <w:rPr>
                <w:noProof/>
                <w:webHidden/>
              </w:rPr>
              <w:instrText xml:space="preserve"> PAGEREF _Toc131084392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38354647" w14:textId="35CB3146" w:rsidR="00042327" w:rsidRDefault="00415DD0">
          <w:pPr>
            <w:pStyle w:val="TOC1"/>
            <w:tabs>
              <w:tab w:val="right" w:leader="dot" w:pos="9350"/>
            </w:tabs>
            <w:rPr>
              <w:noProof/>
              <w:color w:val="auto"/>
              <w:lang w:eastAsia="en-US"/>
            </w:rPr>
          </w:pPr>
          <w:hyperlink w:anchor="_Toc131084393" w:history="1">
            <w:r w:rsidR="00042327" w:rsidRPr="0055531E">
              <w:rPr>
                <w:rStyle w:val="Hyperlink"/>
                <w:noProof/>
                <w:lang w:val="en-GB"/>
              </w:rPr>
              <w:t>3. Assessment</w:t>
            </w:r>
            <w:r w:rsidR="00042327">
              <w:rPr>
                <w:noProof/>
                <w:webHidden/>
              </w:rPr>
              <w:tab/>
            </w:r>
            <w:r w:rsidR="00042327">
              <w:rPr>
                <w:noProof/>
                <w:webHidden/>
              </w:rPr>
              <w:fldChar w:fldCharType="begin"/>
            </w:r>
            <w:r w:rsidR="00042327">
              <w:rPr>
                <w:noProof/>
                <w:webHidden/>
              </w:rPr>
              <w:instrText xml:space="preserve"> PAGEREF _Toc131084393 \h </w:instrText>
            </w:r>
            <w:r w:rsidR="00042327">
              <w:rPr>
                <w:noProof/>
                <w:webHidden/>
              </w:rPr>
            </w:r>
            <w:r w:rsidR="00042327">
              <w:rPr>
                <w:noProof/>
                <w:webHidden/>
              </w:rPr>
              <w:fldChar w:fldCharType="separate"/>
            </w:r>
            <w:r w:rsidR="00042327">
              <w:rPr>
                <w:noProof/>
                <w:webHidden/>
              </w:rPr>
              <w:t>9</w:t>
            </w:r>
            <w:r w:rsidR="00042327">
              <w:rPr>
                <w:noProof/>
                <w:webHidden/>
              </w:rPr>
              <w:fldChar w:fldCharType="end"/>
            </w:r>
          </w:hyperlink>
        </w:p>
        <w:p w14:paraId="6ED5EAF5" w14:textId="47D0FB0E" w:rsidR="00042327" w:rsidRDefault="00415DD0">
          <w:pPr>
            <w:pStyle w:val="TOC2"/>
            <w:tabs>
              <w:tab w:val="right" w:leader="dot" w:pos="9350"/>
            </w:tabs>
            <w:rPr>
              <w:noProof/>
              <w:color w:val="auto"/>
              <w:lang w:eastAsia="en-US"/>
            </w:rPr>
          </w:pPr>
          <w:hyperlink w:anchor="_Toc131084394" w:history="1">
            <w:r w:rsidR="00042327" w:rsidRPr="0055531E">
              <w:rPr>
                <w:rStyle w:val="Hyperlink"/>
                <w:noProof/>
                <w:lang w:val="en-GB"/>
              </w:rPr>
              <w:t>3.1. Pillar I - Legal, Regulatory and Policy Framework</w:t>
            </w:r>
            <w:r w:rsidR="00042327">
              <w:rPr>
                <w:noProof/>
                <w:webHidden/>
              </w:rPr>
              <w:tab/>
            </w:r>
            <w:r w:rsidR="00042327">
              <w:rPr>
                <w:noProof/>
                <w:webHidden/>
              </w:rPr>
              <w:fldChar w:fldCharType="begin"/>
            </w:r>
            <w:r w:rsidR="00042327">
              <w:rPr>
                <w:noProof/>
                <w:webHidden/>
              </w:rPr>
              <w:instrText xml:space="preserve"> PAGEREF _Toc131084394 \h </w:instrText>
            </w:r>
            <w:r w:rsidR="00042327">
              <w:rPr>
                <w:noProof/>
                <w:webHidden/>
              </w:rPr>
            </w:r>
            <w:r w:rsidR="00042327">
              <w:rPr>
                <w:noProof/>
                <w:webHidden/>
              </w:rPr>
              <w:fldChar w:fldCharType="separate"/>
            </w:r>
            <w:r w:rsidR="00042327">
              <w:rPr>
                <w:noProof/>
                <w:webHidden/>
              </w:rPr>
              <w:t>9</w:t>
            </w:r>
            <w:r w:rsidR="00042327">
              <w:rPr>
                <w:noProof/>
                <w:webHidden/>
              </w:rPr>
              <w:fldChar w:fldCharType="end"/>
            </w:r>
          </w:hyperlink>
        </w:p>
        <w:p w14:paraId="1FA398B1" w14:textId="72081BDD" w:rsidR="00042327" w:rsidRDefault="00415DD0">
          <w:pPr>
            <w:pStyle w:val="TOC3"/>
            <w:tabs>
              <w:tab w:val="right" w:leader="dot" w:pos="9350"/>
            </w:tabs>
            <w:rPr>
              <w:noProof/>
              <w:color w:val="auto"/>
              <w:lang w:eastAsia="en-US"/>
            </w:rPr>
          </w:pPr>
          <w:hyperlink w:anchor="_Toc131084395" w:history="1">
            <w:r w:rsidR="00042327" w:rsidRPr="0055531E">
              <w:rPr>
                <w:rStyle w:val="Hyperlink"/>
                <w:noProof/>
                <w:lang w:val="en-GB"/>
              </w:rPr>
              <w:t>Prof-Indicator 1. The legal framework includes appropriate regulations on public procurement professionalisation</w:t>
            </w:r>
            <w:r w:rsidR="00042327">
              <w:rPr>
                <w:noProof/>
                <w:webHidden/>
              </w:rPr>
              <w:tab/>
            </w:r>
            <w:r w:rsidR="00042327">
              <w:rPr>
                <w:noProof/>
                <w:webHidden/>
              </w:rPr>
              <w:fldChar w:fldCharType="begin"/>
            </w:r>
            <w:r w:rsidR="00042327">
              <w:rPr>
                <w:noProof/>
                <w:webHidden/>
              </w:rPr>
              <w:instrText xml:space="preserve"> PAGEREF _Toc131084395 \h </w:instrText>
            </w:r>
            <w:r w:rsidR="00042327">
              <w:rPr>
                <w:noProof/>
                <w:webHidden/>
              </w:rPr>
            </w:r>
            <w:r w:rsidR="00042327">
              <w:rPr>
                <w:noProof/>
                <w:webHidden/>
              </w:rPr>
              <w:fldChar w:fldCharType="separate"/>
            </w:r>
            <w:r w:rsidR="00042327">
              <w:rPr>
                <w:noProof/>
                <w:webHidden/>
              </w:rPr>
              <w:t>9</w:t>
            </w:r>
            <w:r w:rsidR="00042327">
              <w:rPr>
                <w:noProof/>
                <w:webHidden/>
              </w:rPr>
              <w:fldChar w:fldCharType="end"/>
            </w:r>
          </w:hyperlink>
        </w:p>
        <w:p w14:paraId="62257020" w14:textId="756889C3" w:rsidR="00042327" w:rsidRDefault="00415DD0">
          <w:pPr>
            <w:pStyle w:val="TOC3"/>
            <w:tabs>
              <w:tab w:val="right" w:leader="dot" w:pos="9350"/>
            </w:tabs>
            <w:rPr>
              <w:noProof/>
              <w:color w:val="auto"/>
              <w:lang w:eastAsia="en-US"/>
            </w:rPr>
          </w:pPr>
          <w:hyperlink w:anchor="_Toc131084396" w:history="1">
            <w:r w:rsidR="00042327" w:rsidRPr="0055531E">
              <w:rPr>
                <w:rStyle w:val="Hyperlink"/>
                <w:noProof/>
                <w:lang w:val="en-GB"/>
              </w:rPr>
              <w:t>Prof-Indicator 2. Implementing regulations and tools to support public procurement professionalisation</w:t>
            </w:r>
            <w:r w:rsidR="00042327">
              <w:rPr>
                <w:noProof/>
                <w:webHidden/>
              </w:rPr>
              <w:tab/>
            </w:r>
            <w:r w:rsidR="00042327">
              <w:rPr>
                <w:noProof/>
                <w:webHidden/>
              </w:rPr>
              <w:fldChar w:fldCharType="begin"/>
            </w:r>
            <w:r w:rsidR="00042327">
              <w:rPr>
                <w:noProof/>
                <w:webHidden/>
              </w:rPr>
              <w:instrText xml:space="preserve"> PAGEREF _Toc131084396 \h </w:instrText>
            </w:r>
            <w:r w:rsidR="00042327">
              <w:rPr>
                <w:noProof/>
                <w:webHidden/>
              </w:rPr>
            </w:r>
            <w:r w:rsidR="00042327">
              <w:rPr>
                <w:noProof/>
                <w:webHidden/>
              </w:rPr>
              <w:fldChar w:fldCharType="separate"/>
            </w:r>
            <w:r w:rsidR="00042327">
              <w:rPr>
                <w:noProof/>
                <w:webHidden/>
              </w:rPr>
              <w:t>10</w:t>
            </w:r>
            <w:r w:rsidR="00042327">
              <w:rPr>
                <w:noProof/>
                <w:webHidden/>
              </w:rPr>
              <w:fldChar w:fldCharType="end"/>
            </w:r>
          </w:hyperlink>
        </w:p>
        <w:p w14:paraId="514B73CF" w14:textId="31DEE74E" w:rsidR="00042327" w:rsidRDefault="00415DD0">
          <w:pPr>
            <w:pStyle w:val="TOC2"/>
            <w:tabs>
              <w:tab w:val="right" w:leader="dot" w:pos="9350"/>
            </w:tabs>
            <w:rPr>
              <w:noProof/>
              <w:color w:val="auto"/>
              <w:lang w:eastAsia="en-US"/>
            </w:rPr>
          </w:pPr>
          <w:hyperlink w:anchor="_Toc131084397" w:history="1">
            <w:r w:rsidR="00042327" w:rsidRPr="0055531E">
              <w:rPr>
                <w:rStyle w:val="Hyperlink"/>
                <w:noProof/>
                <w:lang w:val="en-GB"/>
              </w:rPr>
              <w:t>3.2. Pillar II - Institutional Framework and Management Capacity</w:t>
            </w:r>
            <w:r w:rsidR="00042327">
              <w:rPr>
                <w:noProof/>
                <w:webHidden/>
              </w:rPr>
              <w:tab/>
            </w:r>
            <w:r w:rsidR="00042327">
              <w:rPr>
                <w:noProof/>
                <w:webHidden/>
              </w:rPr>
              <w:fldChar w:fldCharType="begin"/>
            </w:r>
            <w:r w:rsidR="00042327">
              <w:rPr>
                <w:noProof/>
                <w:webHidden/>
              </w:rPr>
              <w:instrText xml:space="preserve"> PAGEREF _Toc131084397 \h </w:instrText>
            </w:r>
            <w:r w:rsidR="00042327">
              <w:rPr>
                <w:noProof/>
                <w:webHidden/>
              </w:rPr>
            </w:r>
            <w:r w:rsidR="00042327">
              <w:rPr>
                <w:noProof/>
                <w:webHidden/>
              </w:rPr>
              <w:fldChar w:fldCharType="separate"/>
            </w:r>
            <w:r w:rsidR="00042327">
              <w:rPr>
                <w:noProof/>
                <w:webHidden/>
              </w:rPr>
              <w:t>10</w:t>
            </w:r>
            <w:r w:rsidR="00042327">
              <w:rPr>
                <w:noProof/>
                <w:webHidden/>
              </w:rPr>
              <w:fldChar w:fldCharType="end"/>
            </w:r>
          </w:hyperlink>
        </w:p>
        <w:p w14:paraId="56A6B386" w14:textId="4FCCA9BF" w:rsidR="00042327" w:rsidRDefault="00415DD0">
          <w:pPr>
            <w:pStyle w:val="TOC3"/>
            <w:tabs>
              <w:tab w:val="right" w:leader="dot" w:pos="9350"/>
            </w:tabs>
            <w:rPr>
              <w:noProof/>
              <w:color w:val="auto"/>
              <w:lang w:eastAsia="en-US"/>
            </w:rPr>
          </w:pPr>
          <w:hyperlink w:anchor="_Toc131084398" w:history="1">
            <w:r w:rsidR="00042327" w:rsidRPr="0055531E">
              <w:rPr>
                <w:rStyle w:val="Hyperlink"/>
                <w:noProof/>
                <w:lang w:val="en-GB"/>
              </w:rPr>
              <w:t>Prof-Indicator 3. Professionalisation is a key component of the public procurement system</w:t>
            </w:r>
            <w:r w:rsidR="00042327">
              <w:rPr>
                <w:noProof/>
                <w:webHidden/>
              </w:rPr>
              <w:tab/>
            </w:r>
            <w:r w:rsidR="00042327">
              <w:rPr>
                <w:noProof/>
                <w:webHidden/>
              </w:rPr>
              <w:fldChar w:fldCharType="begin"/>
            </w:r>
            <w:r w:rsidR="00042327">
              <w:rPr>
                <w:noProof/>
                <w:webHidden/>
              </w:rPr>
              <w:instrText xml:space="preserve"> PAGEREF _Toc131084398 \h </w:instrText>
            </w:r>
            <w:r w:rsidR="00042327">
              <w:rPr>
                <w:noProof/>
                <w:webHidden/>
              </w:rPr>
            </w:r>
            <w:r w:rsidR="00042327">
              <w:rPr>
                <w:noProof/>
                <w:webHidden/>
              </w:rPr>
              <w:fldChar w:fldCharType="separate"/>
            </w:r>
            <w:r w:rsidR="00042327">
              <w:rPr>
                <w:noProof/>
                <w:webHidden/>
              </w:rPr>
              <w:t>11</w:t>
            </w:r>
            <w:r w:rsidR="00042327">
              <w:rPr>
                <w:noProof/>
                <w:webHidden/>
              </w:rPr>
              <w:fldChar w:fldCharType="end"/>
            </w:r>
          </w:hyperlink>
        </w:p>
        <w:p w14:paraId="54420806" w14:textId="4B3890A8" w:rsidR="00042327" w:rsidRDefault="00415DD0">
          <w:pPr>
            <w:pStyle w:val="TOC3"/>
            <w:tabs>
              <w:tab w:val="right" w:leader="dot" w:pos="9350"/>
            </w:tabs>
            <w:rPr>
              <w:noProof/>
              <w:color w:val="auto"/>
              <w:lang w:eastAsia="en-US"/>
            </w:rPr>
          </w:pPr>
          <w:hyperlink w:anchor="_Toc131084399" w:history="1">
            <w:r w:rsidR="00042327" w:rsidRPr="0055531E">
              <w:rPr>
                <w:rStyle w:val="Hyperlink"/>
                <w:noProof/>
                <w:lang w:val="en-GB"/>
              </w:rPr>
              <w:t>Prof-Indicator 4. Professionalisation takes place in an environment of planning, monitoring and evaluation</w:t>
            </w:r>
            <w:r w:rsidR="00042327">
              <w:rPr>
                <w:noProof/>
                <w:webHidden/>
              </w:rPr>
              <w:tab/>
            </w:r>
            <w:r w:rsidR="00042327">
              <w:rPr>
                <w:noProof/>
                <w:webHidden/>
              </w:rPr>
              <w:fldChar w:fldCharType="begin"/>
            </w:r>
            <w:r w:rsidR="00042327">
              <w:rPr>
                <w:noProof/>
                <w:webHidden/>
              </w:rPr>
              <w:instrText xml:space="preserve"> PAGEREF _Toc131084399 \h </w:instrText>
            </w:r>
            <w:r w:rsidR="00042327">
              <w:rPr>
                <w:noProof/>
                <w:webHidden/>
              </w:rPr>
            </w:r>
            <w:r w:rsidR="00042327">
              <w:rPr>
                <w:noProof/>
                <w:webHidden/>
              </w:rPr>
              <w:fldChar w:fldCharType="separate"/>
            </w:r>
            <w:r w:rsidR="00042327">
              <w:rPr>
                <w:noProof/>
                <w:webHidden/>
              </w:rPr>
              <w:t>11</w:t>
            </w:r>
            <w:r w:rsidR="00042327">
              <w:rPr>
                <w:noProof/>
                <w:webHidden/>
              </w:rPr>
              <w:fldChar w:fldCharType="end"/>
            </w:r>
          </w:hyperlink>
        </w:p>
        <w:p w14:paraId="043AC10C" w14:textId="6D22B273" w:rsidR="00042327" w:rsidRDefault="00415DD0">
          <w:pPr>
            <w:pStyle w:val="TOC3"/>
            <w:tabs>
              <w:tab w:val="right" w:leader="dot" w:pos="9350"/>
            </w:tabs>
            <w:rPr>
              <w:noProof/>
              <w:color w:val="auto"/>
              <w:lang w:eastAsia="en-US"/>
            </w:rPr>
          </w:pPr>
          <w:hyperlink w:anchor="_Toc131084400" w:history="1">
            <w:r w:rsidR="00042327" w:rsidRPr="0055531E">
              <w:rPr>
                <w:rStyle w:val="Hyperlink"/>
                <w:noProof/>
                <w:lang w:val="en-GB"/>
              </w:rPr>
              <w:t>Prof-Indicator 5. Professionalisation is based on sound principles and standards</w:t>
            </w:r>
            <w:r w:rsidR="00042327">
              <w:rPr>
                <w:noProof/>
                <w:webHidden/>
              </w:rPr>
              <w:tab/>
            </w:r>
            <w:r w:rsidR="00042327">
              <w:rPr>
                <w:noProof/>
                <w:webHidden/>
              </w:rPr>
              <w:fldChar w:fldCharType="begin"/>
            </w:r>
            <w:r w:rsidR="00042327">
              <w:rPr>
                <w:noProof/>
                <w:webHidden/>
              </w:rPr>
              <w:instrText xml:space="preserve"> PAGEREF _Toc131084400 \h </w:instrText>
            </w:r>
            <w:r w:rsidR="00042327">
              <w:rPr>
                <w:noProof/>
                <w:webHidden/>
              </w:rPr>
            </w:r>
            <w:r w:rsidR="00042327">
              <w:rPr>
                <w:noProof/>
                <w:webHidden/>
              </w:rPr>
              <w:fldChar w:fldCharType="separate"/>
            </w:r>
            <w:r w:rsidR="00042327">
              <w:rPr>
                <w:noProof/>
                <w:webHidden/>
              </w:rPr>
              <w:t>12</w:t>
            </w:r>
            <w:r w:rsidR="00042327">
              <w:rPr>
                <w:noProof/>
                <w:webHidden/>
              </w:rPr>
              <w:fldChar w:fldCharType="end"/>
            </w:r>
          </w:hyperlink>
        </w:p>
        <w:p w14:paraId="5D0CAE4B" w14:textId="4AF30C62" w:rsidR="00042327" w:rsidRDefault="00415DD0">
          <w:pPr>
            <w:pStyle w:val="TOC2"/>
            <w:tabs>
              <w:tab w:val="right" w:leader="dot" w:pos="9350"/>
            </w:tabs>
            <w:rPr>
              <w:noProof/>
              <w:color w:val="auto"/>
              <w:lang w:eastAsia="en-US"/>
            </w:rPr>
          </w:pPr>
          <w:hyperlink w:anchor="_Toc131084401" w:history="1">
            <w:r w:rsidR="00042327" w:rsidRPr="0055531E">
              <w:rPr>
                <w:rStyle w:val="Hyperlink"/>
                <w:noProof/>
                <w:lang w:val="en-GB"/>
              </w:rPr>
              <w:t>3.3. Pillar III - Public Procurement Operations and Market Practices</w:t>
            </w:r>
            <w:r w:rsidR="00042327">
              <w:rPr>
                <w:noProof/>
                <w:webHidden/>
              </w:rPr>
              <w:tab/>
            </w:r>
            <w:r w:rsidR="00042327">
              <w:rPr>
                <w:noProof/>
                <w:webHidden/>
              </w:rPr>
              <w:fldChar w:fldCharType="begin"/>
            </w:r>
            <w:r w:rsidR="00042327">
              <w:rPr>
                <w:noProof/>
                <w:webHidden/>
              </w:rPr>
              <w:instrText xml:space="preserve"> PAGEREF _Toc131084401 \h </w:instrText>
            </w:r>
            <w:r w:rsidR="00042327">
              <w:rPr>
                <w:noProof/>
                <w:webHidden/>
              </w:rPr>
            </w:r>
            <w:r w:rsidR="00042327">
              <w:rPr>
                <w:noProof/>
                <w:webHidden/>
              </w:rPr>
              <w:fldChar w:fldCharType="separate"/>
            </w:r>
            <w:r w:rsidR="00042327">
              <w:rPr>
                <w:noProof/>
                <w:webHidden/>
              </w:rPr>
              <w:t>12</w:t>
            </w:r>
            <w:r w:rsidR="00042327">
              <w:rPr>
                <w:noProof/>
                <w:webHidden/>
              </w:rPr>
              <w:fldChar w:fldCharType="end"/>
            </w:r>
          </w:hyperlink>
        </w:p>
        <w:p w14:paraId="4A875148" w14:textId="15440E7C" w:rsidR="00042327" w:rsidRDefault="00415DD0">
          <w:pPr>
            <w:pStyle w:val="TOC3"/>
            <w:tabs>
              <w:tab w:val="right" w:leader="dot" w:pos="9350"/>
            </w:tabs>
            <w:rPr>
              <w:noProof/>
              <w:color w:val="auto"/>
              <w:lang w:eastAsia="en-US"/>
            </w:rPr>
          </w:pPr>
          <w:hyperlink w:anchor="_Toc131084402" w:history="1">
            <w:r w:rsidR="00042327" w:rsidRPr="0055531E">
              <w:rPr>
                <w:rStyle w:val="Hyperlink"/>
                <w:noProof/>
                <w:lang w:val="en-GB"/>
              </w:rPr>
              <w:t>Prof-Indicator 6. The public procurement system has adequate financial mechanisms to finance the cost of education, training and certification of public procurement professionals</w:t>
            </w:r>
            <w:r w:rsidR="00042327">
              <w:rPr>
                <w:noProof/>
                <w:webHidden/>
              </w:rPr>
              <w:tab/>
            </w:r>
            <w:r w:rsidR="00042327">
              <w:rPr>
                <w:noProof/>
                <w:webHidden/>
              </w:rPr>
              <w:fldChar w:fldCharType="begin"/>
            </w:r>
            <w:r w:rsidR="00042327">
              <w:rPr>
                <w:noProof/>
                <w:webHidden/>
              </w:rPr>
              <w:instrText xml:space="preserve"> PAGEREF _Toc131084402 \h </w:instrText>
            </w:r>
            <w:r w:rsidR="00042327">
              <w:rPr>
                <w:noProof/>
                <w:webHidden/>
              </w:rPr>
            </w:r>
            <w:r w:rsidR="00042327">
              <w:rPr>
                <w:noProof/>
                <w:webHidden/>
              </w:rPr>
              <w:fldChar w:fldCharType="separate"/>
            </w:r>
            <w:r w:rsidR="00042327">
              <w:rPr>
                <w:noProof/>
                <w:webHidden/>
              </w:rPr>
              <w:t>13</w:t>
            </w:r>
            <w:r w:rsidR="00042327">
              <w:rPr>
                <w:noProof/>
                <w:webHidden/>
              </w:rPr>
              <w:fldChar w:fldCharType="end"/>
            </w:r>
          </w:hyperlink>
        </w:p>
        <w:p w14:paraId="44460F6C" w14:textId="169574DB" w:rsidR="00042327" w:rsidRDefault="00415DD0">
          <w:pPr>
            <w:pStyle w:val="TOC3"/>
            <w:tabs>
              <w:tab w:val="right" w:leader="dot" w:pos="9350"/>
            </w:tabs>
            <w:rPr>
              <w:noProof/>
              <w:color w:val="auto"/>
              <w:lang w:eastAsia="en-US"/>
            </w:rPr>
          </w:pPr>
          <w:hyperlink w:anchor="_Toc131084403" w:history="1">
            <w:r w:rsidR="00042327" w:rsidRPr="0055531E">
              <w:rPr>
                <w:rStyle w:val="Hyperlink"/>
                <w:noProof/>
                <w:lang w:val="en-GB"/>
              </w:rPr>
              <w:t>Prof-Indicator 7. Public procurement is recognised as a professional career line in the country’s public service</w:t>
            </w:r>
            <w:r w:rsidR="00042327">
              <w:rPr>
                <w:noProof/>
                <w:webHidden/>
              </w:rPr>
              <w:tab/>
            </w:r>
            <w:r w:rsidR="00042327">
              <w:rPr>
                <w:noProof/>
                <w:webHidden/>
              </w:rPr>
              <w:fldChar w:fldCharType="begin"/>
            </w:r>
            <w:r w:rsidR="00042327">
              <w:rPr>
                <w:noProof/>
                <w:webHidden/>
              </w:rPr>
              <w:instrText xml:space="preserve"> PAGEREF _Toc131084403 \h </w:instrText>
            </w:r>
            <w:r w:rsidR="00042327">
              <w:rPr>
                <w:noProof/>
                <w:webHidden/>
              </w:rPr>
            </w:r>
            <w:r w:rsidR="00042327">
              <w:rPr>
                <w:noProof/>
                <w:webHidden/>
              </w:rPr>
              <w:fldChar w:fldCharType="separate"/>
            </w:r>
            <w:r w:rsidR="00042327">
              <w:rPr>
                <w:noProof/>
                <w:webHidden/>
              </w:rPr>
              <w:t>14</w:t>
            </w:r>
            <w:r w:rsidR="00042327">
              <w:rPr>
                <w:noProof/>
                <w:webHidden/>
              </w:rPr>
              <w:fldChar w:fldCharType="end"/>
            </w:r>
          </w:hyperlink>
        </w:p>
        <w:p w14:paraId="4ECA7B06" w14:textId="19A902B0" w:rsidR="00042327" w:rsidRDefault="00415DD0">
          <w:pPr>
            <w:pStyle w:val="TOC3"/>
            <w:tabs>
              <w:tab w:val="right" w:leader="dot" w:pos="9350"/>
            </w:tabs>
            <w:rPr>
              <w:noProof/>
              <w:color w:val="auto"/>
              <w:lang w:eastAsia="en-US"/>
            </w:rPr>
          </w:pPr>
          <w:hyperlink w:anchor="_Toc131084404" w:history="1">
            <w:r w:rsidR="00042327" w:rsidRPr="0055531E">
              <w:rPr>
                <w:rStyle w:val="Hyperlink"/>
                <w:noProof/>
                <w:lang w:val="en-GB"/>
              </w:rPr>
              <w:t>Prof-Indicator 8. Market conditions favour the development of professionalisation</w:t>
            </w:r>
            <w:r w:rsidR="00042327">
              <w:rPr>
                <w:noProof/>
                <w:webHidden/>
              </w:rPr>
              <w:tab/>
            </w:r>
            <w:r w:rsidR="00042327">
              <w:rPr>
                <w:noProof/>
                <w:webHidden/>
              </w:rPr>
              <w:fldChar w:fldCharType="begin"/>
            </w:r>
            <w:r w:rsidR="00042327">
              <w:rPr>
                <w:noProof/>
                <w:webHidden/>
              </w:rPr>
              <w:instrText xml:space="preserve"> PAGEREF _Toc131084404 \h </w:instrText>
            </w:r>
            <w:r w:rsidR="00042327">
              <w:rPr>
                <w:noProof/>
                <w:webHidden/>
              </w:rPr>
            </w:r>
            <w:r w:rsidR="00042327">
              <w:rPr>
                <w:noProof/>
                <w:webHidden/>
              </w:rPr>
              <w:fldChar w:fldCharType="separate"/>
            </w:r>
            <w:r w:rsidR="00042327">
              <w:rPr>
                <w:noProof/>
                <w:webHidden/>
              </w:rPr>
              <w:t>14</w:t>
            </w:r>
            <w:r w:rsidR="00042327">
              <w:rPr>
                <w:noProof/>
                <w:webHidden/>
              </w:rPr>
              <w:fldChar w:fldCharType="end"/>
            </w:r>
          </w:hyperlink>
        </w:p>
        <w:p w14:paraId="48DE7862" w14:textId="35F8A8FA" w:rsidR="00042327" w:rsidRDefault="00415DD0">
          <w:pPr>
            <w:pStyle w:val="TOC2"/>
            <w:tabs>
              <w:tab w:val="right" w:leader="dot" w:pos="9350"/>
            </w:tabs>
            <w:rPr>
              <w:noProof/>
              <w:color w:val="auto"/>
              <w:lang w:eastAsia="en-US"/>
            </w:rPr>
          </w:pPr>
          <w:hyperlink w:anchor="_Toc131084405" w:history="1">
            <w:r w:rsidR="00042327" w:rsidRPr="0055531E">
              <w:rPr>
                <w:rStyle w:val="Hyperlink"/>
                <w:noProof/>
                <w:lang w:val="en-GB"/>
              </w:rPr>
              <w:t>3.4. Pillar IV - Accountability, Integrity and Transparency of the Public Procurement System</w:t>
            </w:r>
            <w:r w:rsidR="00042327">
              <w:rPr>
                <w:noProof/>
                <w:webHidden/>
              </w:rPr>
              <w:tab/>
            </w:r>
            <w:r w:rsidR="00042327">
              <w:rPr>
                <w:noProof/>
                <w:webHidden/>
              </w:rPr>
              <w:fldChar w:fldCharType="begin"/>
            </w:r>
            <w:r w:rsidR="00042327">
              <w:rPr>
                <w:noProof/>
                <w:webHidden/>
              </w:rPr>
              <w:instrText xml:space="preserve"> PAGEREF _Toc131084405 \h </w:instrText>
            </w:r>
            <w:r w:rsidR="00042327">
              <w:rPr>
                <w:noProof/>
                <w:webHidden/>
              </w:rPr>
            </w:r>
            <w:r w:rsidR="00042327">
              <w:rPr>
                <w:noProof/>
                <w:webHidden/>
              </w:rPr>
              <w:fldChar w:fldCharType="separate"/>
            </w:r>
            <w:r w:rsidR="00042327">
              <w:rPr>
                <w:noProof/>
                <w:webHidden/>
              </w:rPr>
              <w:t>15</w:t>
            </w:r>
            <w:r w:rsidR="00042327">
              <w:rPr>
                <w:noProof/>
                <w:webHidden/>
              </w:rPr>
              <w:fldChar w:fldCharType="end"/>
            </w:r>
          </w:hyperlink>
        </w:p>
        <w:p w14:paraId="19BD3453" w14:textId="3F458749" w:rsidR="00042327" w:rsidRDefault="00415DD0">
          <w:pPr>
            <w:pStyle w:val="TOC3"/>
            <w:tabs>
              <w:tab w:val="right" w:leader="dot" w:pos="9350"/>
            </w:tabs>
            <w:rPr>
              <w:noProof/>
              <w:color w:val="auto"/>
              <w:lang w:eastAsia="en-US"/>
            </w:rPr>
          </w:pPr>
          <w:hyperlink w:anchor="_Toc131084406" w:history="1">
            <w:r w:rsidR="00042327" w:rsidRPr="0055531E">
              <w:rPr>
                <w:rStyle w:val="Hyperlink"/>
                <w:noProof/>
                <w:lang w:val="en-GB"/>
              </w:rPr>
              <w:t>Prof-Indicator 9. The professionalisation policy considers ethics and accountability</w:t>
            </w:r>
            <w:r w:rsidR="00042327">
              <w:rPr>
                <w:noProof/>
                <w:webHidden/>
              </w:rPr>
              <w:tab/>
            </w:r>
            <w:r w:rsidR="00042327">
              <w:rPr>
                <w:noProof/>
                <w:webHidden/>
              </w:rPr>
              <w:fldChar w:fldCharType="begin"/>
            </w:r>
            <w:r w:rsidR="00042327">
              <w:rPr>
                <w:noProof/>
                <w:webHidden/>
              </w:rPr>
              <w:instrText xml:space="preserve"> PAGEREF _Toc131084406 \h </w:instrText>
            </w:r>
            <w:r w:rsidR="00042327">
              <w:rPr>
                <w:noProof/>
                <w:webHidden/>
              </w:rPr>
            </w:r>
            <w:r w:rsidR="00042327">
              <w:rPr>
                <w:noProof/>
                <w:webHidden/>
              </w:rPr>
              <w:fldChar w:fldCharType="separate"/>
            </w:r>
            <w:r w:rsidR="00042327">
              <w:rPr>
                <w:noProof/>
                <w:webHidden/>
              </w:rPr>
              <w:t>15</w:t>
            </w:r>
            <w:r w:rsidR="00042327">
              <w:rPr>
                <w:noProof/>
                <w:webHidden/>
              </w:rPr>
              <w:fldChar w:fldCharType="end"/>
            </w:r>
          </w:hyperlink>
        </w:p>
        <w:p w14:paraId="0A8D1D23" w14:textId="42834405" w:rsidR="00042327" w:rsidRDefault="00415DD0">
          <w:pPr>
            <w:pStyle w:val="TOC3"/>
            <w:tabs>
              <w:tab w:val="right" w:leader="dot" w:pos="9350"/>
            </w:tabs>
            <w:rPr>
              <w:noProof/>
              <w:color w:val="auto"/>
              <w:lang w:eastAsia="en-US"/>
            </w:rPr>
          </w:pPr>
          <w:hyperlink w:anchor="_Toc131084407" w:history="1">
            <w:r w:rsidR="00042327" w:rsidRPr="0055531E">
              <w:rPr>
                <w:rStyle w:val="Hyperlink"/>
                <w:noProof/>
                <w:lang w:val="en-GB"/>
              </w:rPr>
              <w:t>Prof-Indicator 10. The country has mechanisms that support professional integrity in public procurement</w:t>
            </w:r>
            <w:r w:rsidR="00042327">
              <w:rPr>
                <w:noProof/>
                <w:webHidden/>
              </w:rPr>
              <w:tab/>
            </w:r>
            <w:r w:rsidR="00042327">
              <w:rPr>
                <w:noProof/>
                <w:webHidden/>
              </w:rPr>
              <w:fldChar w:fldCharType="begin"/>
            </w:r>
            <w:r w:rsidR="00042327">
              <w:rPr>
                <w:noProof/>
                <w:webHidden/>
              </w:rPr>
              <w:instrText xml:space="preserve"> PAGEREF _Toc131084407 \h </w:instrText>
            </w:r>
            <w:r w:rsidR="00042327">
              <w:rPr>
                <w:noProof/>
                <w:webHidden/>
              </w:rPr>
            </w:r>
            <w:r w:rsidR="00042327">
              <w:rPr>
                <w:noProof/>
                <w:webHidden/>
              </w:rPr>
              <w:fldChar w:fldCharType="separate"/>
            </w:r>
            <w:r w:rsidR="00042327">
              <w:rPr>
                <w:noProof/>
                <w:webHidden/>
              </w:rPr>
              <w:t>16</w:t>
            </w:r>
            <w:r w:rsidR="00042327">
              <w:rPr>
                <w:noProof/>
                <w:webHidden/>
              </w:rPr>
              <w:fldChar w:fldCharType="end"/>
            </w:r>
          </w:hyperlink>
        </w:p>
        <w:p w14:paraId="62A3780B" w14:textId="479D1099" w:rsidR="00042327" w:rsidRDefault="00415DD0">
          <w:pPr>
            <w:pStyle w:val="TOC1"/>
            <w:tabs>
              <w:tab w:val="right" w:leader="dot" w:pos="9350"/>
            </w:tabs>
            <w:rPr>
              <w:noProof/>
              <w:color w:val="auto"/>
              <w:lang w:eastAsia="en-US"/>
            </w:rPr>
          </w:pPr>
          <w:hyperlink w:anchor="_Toc131084408" w:history="1">
            <w:r w:rsidR="00042327" w:rsidRPr="0055531E">
              <w:rPr>
                <w:rStyle w:val="Hyperlink"/>
                <w:noProof/>
                <w:lang w:val="en-GB"/>
              </w:rPr>
              <w:t>4. Consolidated Recommendations</w:t>
            </w:r>
            <w:r w:rsidR="00042327">
              <w:rPr>
                <w:noProof/>
                <w:webHidden/>
              </w:rPr>
              <w:tab/>
            </w:r>
            <w:r w:rsidR="00042327">
              <w:rPr>
                <w:noProof/>
                <w:webHidden/>
              </w:rPr>
              <w:fldChar w:fldCharType="begin"/>
            </w:r>
            <w:r w:rsidR="00042327">
              <w:rPr>
                <w:noProof/>
                <w:webHidden/>
              </w:rPr>
              <w:instrText xml:space="preserve"> PAGEREF _Toc131084408 \h </w:instrText>
            </w:r>
            <w:r w:rsidR="00042327">
              <w:rPr>
                <w:noProof/>
                <w:webHidden/>
              </w:rPr>
            </w:r>
            <w:r w:rsidR="00042327">
              <w:rPr>
                <w:noProof/>
                <w:webHidden/>
              </w:rPr>
              <w:fldChar w:fldCharType="separate"/>
            </w:r>
            <w:r w:rsidR="00042327">
              <w:rPr>
                <w:noProof/>
                <w:webHidden/>
              </w:rPr>
              <w:t>16</w:t>
            </w:r>
            <w:r w:rsidR="00042327">
              <w:rPr>
                <w:noProof/>
                <w:webHidden/>
              </w:rPr>
              <w:fldChar w:fldCharType="end"/>
            </w:r>
          </w:hyperlink>
        </w:p>
        <w:p w14:paraId="34411DE8" w14:textId="74C9AC17" w:rsidR="00042327" w:rsidRDefault="00415DD0">
          <w:pPr>
            <w:pStyle w:val="TOC1"/>
            <w:tabs>
              <w:tab w:val="right" w:leader="dot" w:pos="9350"/>
            </w:tabs>
            <w:rPr>
              <w:noProof/>
              <w:color w:val="auto"/>
              <w:lang w:eastAsia="en-US"/>
            </w:rPr>
          </w:pPr>
          <w:hyperlink w:anchor="_Toc131084409" w:history="1">
            <w:r w:rsidR="00042327" w:rsidRPr="0055531E">
              <w:rPr>
                <w:rStyle w:val="Hyperlink"/>
                <w:noProof/>
                <w:lang w:val="en-GB"/>
              </w:rPr>
              <w:t>5. Strategic Planning</w:t>
            </w:r>
            <w:r w:rsidR="00042327">
              <w:rPr>
                <w:noProof/>
                <w:webHidden/>
              </w:rPr>
              <w:tab/>
            </w:r>
            <w:r w:rsidR="00042327">
              <w:rPr>
                <w:noProof/>
                <w:webHidden/>
              </w:rPr>
              <w:fldChar w:fldCharType="begin"/>
            </w:r>
            <w:r w:rsidR="00042327">
              <w:rPr>
                <w:noProof/>
                <w:webHidden/>
              </w:rPr>
              <w:instrText xml:space="preserve"> PAGEREF _Toc131084409 \h </w:instrText>
            </w:r>
            <w:r w:rsidR="00042327">
              <w:rPr>
                <w:noProof/>
                <w:webHidden/>
              </w:rPr>
            </w:r>
            <w:r w:rsidR="00042327">
              <w:rPr>
                <w:noProof/>
                <w:webHidden/>
              </w:rPr>
              <w:fldChar w:fldCharType="separate"/>
            </w:r>
            <w:r w:rsidR="00042327">
              <w:rPr>
                <w:noProof/>
                <w:webHidden/>
              </w:rPr>
              <w:t>17</w:t>
            </w:r>
            <w:r w:rsidR="00042327">
              <w:rPr>
                <w:noProof/>
                <w:webHidden/>
              </w:rPr>
              <w:fldChar w:fldCharType="end"/>
            </w:r>
          </w:hyperlink>
        </w:p>
        <w:p w14:paraId="412513F0" w14:textId="2EC5D5D8" w:rsidR="00042327" w:rsidRDefault="00415DD0">
          <w:pPr>
            <w:pStyle w:val="TOC1"/>
            <w:tabs>
              <w:tab w:val="right" w:leader="dot" w:pos="9350"/>
            </w:tabs>
            <w:rPr>
              <w:noProof/>
              <w:color w:val="auto"/>
              <w:lang w:eastAsia="en-US"/>
            </w:rPr>
          </w:pPr>
          <w:hyperlink w:anchor="_Toc131084410" w:history="1">
            <w:r w:rsidR="00042327" w:rsidRPr="0055531E">
              <w:rPr>
                <w:rStyle w:val="Hyperlink"/>
                <w:noProof/>
                <w:lang w:val="en-GB"/>
              </w:rPr>
              <w:t>6.  Validation</w:t>
            </w:r>
            <w:r w:rsidR="00042327">
              <w:rPr>
                <w:noProof/>
                <w:webHidden/>
              </w:rPr>
              <w:tab/>
            </w:r>
            <w:r w:rsidR="00042327">
              <w:rPr>
                <w:noProof/>
                <w:webHidden/>
              </w:rPr>
              <w:fldChar w:fldCharType="begin"/>
            </w:r>
            <w:r w:rsidR="00042327">
              <w:rPr>
                <w:noProof/>
                <w:webHidden/>
              </w:rPr>
              <w:instrText xml:space="preserve"> PAGEREF _Toc131084410 \h </w:instrText>
            </w:r>
            <w:r w:rsidR="00042327">
              <w:rPr>
                <w:noProof/>
                <w:webHidden/>
              </w:rPr>
            </w:r>
            <w:r w:rsidR="00042327">
              <w:rPr>
                <w:noProof/>
                <w:webHidden/>
              </w:rPr>
              <w:fldChar w:fldCharType="separate"/>
            </w:r>
            <w:r w:rsidR="00042327">
              <w:rPr>
                <w:noProof/>
                <w:webHidden/>
              </w:rPr>
              <w:t>17</w:t>
            </w:r>
            <w:r w:rsidR="00042327">
              <w:rPr>
                <w:noProof/>
                <w:webHidden/>
              </w:rPr>
              <w:fldChar w:fldCharType="end"/>
            </w:r>
          </w:hyperlink>
        </w:p>
        <w:p w14:paraId="467AC30A" w14:textId="664E186B" w:rsidR="00042327" w:rsidRDefault="00415DD0">
          <w:pPr>
            <w:pStyle w:val="TOC1"/>
            <w:tabs>
              <w:tab w:val="right" w:leader="dot" w:pos="9350"/>
            </w:tabs>
            <w:rPr>
              <w:noProof/>
              <w:color w:val="auto"/>
              <w:lang w:eastAsia="en-US"/>
            </w:rPr>
          </w:pPr>
          <w:hyperlink w:anchor="_Toc131084411" w:history="1">
            <w:r w:rsidR="00042327" w:rsidRPr="0055531E">
              <w:rPr>
                <w:rStyle w:val="Hyperlink"/>
                <w:noProof/>
                <w:lang w:val="en-GB"/>
              </w:rPr>
              <w:t>Annexes/Appendices</w:t>
            </w:r>
            <w:r w:rsidR="00042327">
              <w:rPr>
                <w:noProof/>
                <w:webHidden/>
              </w:rPr>
              <w:tab/>
            </w:r>
            <w:r w:rsidR="00042327">
              <w:rPr>
                <w:noProof/>
                <w:webHidden/>
              </w:rPr>
              <w:fldChar w:fldCharType="begin"/>
            </w:r>
            <w:r w:rsidR="00042327">
              <w:rPr>
                <w:noProof/>
                <w:webHidden/>
              </w:rPr>
              <w:instrText xml:space="preserve"> PAGEREF _Toc131084411 \h </w:instrText>
            </w:r>
            <w:r w:rsidR="00042327">
              <w:rPr>
                <w:noProof/>
                <w:webHidden/>
              </w:rPr>
            </w:r>
            <w:r w:rsidR="00042327">
              <w:rPr>
                <w:noProof/>
                <w:webHidden/>
              </w:rPr>
              <w:fldChar w:fldCharType="separate"/>
            </w:r>
            <w:r w:rsidR="00042327">
              <w:rPr>
                <w:noProof/>
                <w:webHidden/>
              </w:rPr>
              <w:t>17</w:t>
            </w:r>
            <w:r w:rsidR="00042327">
              <w:rPr>
                <w:noProof/>
                <w:webHidden/>
              </w:rPr>
              <w:fldChar w:fldCharType="end"/>
            </w:r>
          </w:hyperlink>
        </w:p>
        <w:p w14:paraId="0C74BA41" w14:textId="77777777" w:rsidR="00E0323D" w:rsidRPr="00115061" w:rsidRDefault="00132AC2">
          <w:pPr>
            <w:rPr>
              <w:lang w:val="en-GB"/>
            </w:rPr>
          </w:pPr>
          <w:r w:rsidRPr="00115061">
            <w:rPr>
              <w:b/>
              <w:bCs/>
              <w:noProof/>
              <w:lang w:val="en-GB"/>
            </w:rPr>
            <w:fldChar w:fldCharType="end"/>
          </w:r>
        </w:p>
      </w:sdtContent>
    </w:sdt>
    <w:p w14:paraId="0C74BA42" w14:textId="77777777" w:rsidR="005C3221" w:rsidRPr="00115061" w:rsidRDefault="005C3221" w:rsidP="005C3221">
      <w:pPr>
        <w:pStyle w:val="Title"/>
        <w:rPr>
          <w:lang w:val="en-GB"/>
        </w:rPr>
      </w:pPr>
    </w:p>
    <w:p w14:paraId="0C74BA44" w14:textId="77777777" w:rsidR="00F2762B" w:rsidRPr="00115061" w:rsidRDefault="00F2762B">
      <w:pPr>
        <w:jc w:val="left"/>
        <w:rPr>
          <w:rFonts w:eastAsiaTheme="majorEastAsia" w:cstheme="majorBidi"/>
          <w:bCs/>
          <w:sz w:val="40"/>
          <w:szCs w:val="36"/>
          <w:lang w:val="en-GB"/>
        </w:rPr>
      </w:pPr>
      <w:r w:rsidRPr="00115061">
        <w:rPr>
          <w:lang w:val="en-GB"/>
        </w:rPr>
        <w:br w:type="page"/>
      </w:r>
    </w:p>
    <w:p w14:paraId="0C74BA45" w14:textId="77777777" w:rsidR="00751E36" w:rsidRPr="00115061" w:rsidRDefault="00751E36" w:rsidP="00751E36">
      <w:pPr>
        <w:pStyle w:val="Heading1"/>
        <w:rPr>
          <w:lang w:val="en-GB"/>
        </w:rPr>
      </w:pPr>
      <w:bookmarkStart w:id="4" w:name="_Toc131084384"/>
      <w:commentRangeStart w:id="5"/>
      <w:r w:rsidRPr="00115061">
        <w:rPr>
          <w:lang w:val="en-GB"/>
        </w:rPr>
        <w:lastRenderedPageBreak/>
        <w:t>Acronyms</w:t>
      </w:r>
      <w:commentRangeEnd w:id="5"/>
      <w:r w:rsidR="00FE79EF" w:rsidRPr="00115061">
        <w:rPr>
          <w:rStyle w:val="CommentReference"/>
          <w:rFonts w:eastAsiaTheme="minorEastAsia" w:cstheme="minorBidi"/>
          <w:bCs w:val="0"/>
          <w:lang w:val="en-GB"/>
        </w:rPr>
        <w:commentReference w:id="5"/>
      </w:r>
      <w:bookmarkEnd w:id="4"/>
    </w:p>
    <w:p w14:paraId="0C74BA46" w14:textId="77777777" w:rsidR="00751E36" w:rsidRPr="00115061" w:rsidRDefault="00751E36" w:rsidP="005C3221">
      <w:pPr>
        <w:pStyle w:val="Title"/>
        <w:rPr>
          <w:lang w:val="en-GB"/>
        </w:rPr>
      </w:pPr>
    </w:p>
    <w:p w14:paraId="0C74BA47" w14:textId="77777777" w:rsidR="005C3221" w:rsidRPr="00115061" w:rsidRDefault="005C3221" w:rsidP="005C3221">
      <w:pPr>
        <w:shd w:val="clear" w:color="auto" w:fill="FFFFFF"/>
        <w:spacing w:after="225"/>
        <w:rPr>
          <w:rFonts w:ascii="Open Sans" w:hAnsi="Open Sans" w:cs="Open Sans"/>
          <w:color w:val="000000"/>
          <w:sz w:val="21"/>
          <w:szCs w:val="21"/>
          <w:lang w:val="en-GB"/>
        </w:rPr>
      </w:pPr>
    </w:p>
    <w:p w14:paraId="0C74BA48"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9"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A"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B"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C"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D"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E"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F"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0"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1"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2"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3"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4"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5" w14:textId="77777777" w:rsidR="005C3221" w:rsidRPr="00115061" w:rsidRDefault="005C3221" w:rsidP="005C3221">
      <w:pPr>
        <w:rPr>
          <w:lang w:val="en-GB"/>
        </w:rPr>
      </w:pPr>
    </w:p>
    <w:p w14:paraId="0C74BA56" w14:textId="77777777" w:rsidR="005C3221" w:rsidRPr="00115061" w:rsidRDefault="005C3221"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7"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8"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9"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A"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B"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C"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D"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E"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F"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60"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61" w14:textId="77777777" w:rsidR="005C3221" w:rsidRPr="00115061" w:rsidRDefault="00751E36" w:rsidP="00751E36">
      <w:pPr>
        <w:pStyle w:val="Heading1"/>
        <w:rPr>
          <w:lang w:val="en-GB"/>
        </w:rPr>
      </w:pPr>
      <w:bookmarkStart w:id="6" w:name="_Toc131084385"/>
      <w:r w:rsidRPr="00115061">
        <w:rPr>
          <w:lang w:val="en-GB"/>
        </w:rPr>
        <w:lastRenderedPageBreak/>
        <w:t>Executive summary</w:t>
      </w:r>
      <w:bookmarkEnd w:id="6"/>
    </w:p>
    <w:p w14:paraId="3C0F5BDE" w14:textId="55D81779" w:rsidR="00FC70DC" w:rsidRDefault="00FC70DC" w:rsidP="00FC70DC">
      <w:pPr>
        <w:rPr>
          <w:lang w:val="en-GB"/>
        </w:rPr>
      </w:pPr>
      <w:commentRangeStart w:id="7"/>
      <w:r>
        <w:rPr>
          <w:lang w:val="en-GB"/>
        </w:rPr>
        <w:t xml:space="preserve">… </w:t>
      </w:r>
      <w:commentRangeEnd w:id="7"/>
      <w:r>
        <w:rPr>
          <w:rStyle w:val="CommentReference"/>
        </w:rPr>
        <w:commentReference w:id="7"/>
      </w:r>
    </w:p>
    <w:p w14:paraId="6393ED02" w14:textId="25C2C514" w:rsidR="00570B37" w:rsidRPr="00115061" w:rsidRDefault="007E4437" w:rsidP="007E4437">
      <w:pPr>
        <w:pStyle w:val="Heading3"/>
        <w:rPr>
          <w:lang w:val="en-GB"/>
        </w:rPr>
      </w:pPr>
      <w:bookmarkStart w:id="8" w:name="_Toc131084386"/>
      <w:r w:rsidRPr="00115061">
        <w:rPr>
          <w:lang w:val="en-GB"/>
        </w:rPr>
        <w:t>Overview</w:t>
      </w:r>
      <w:r w:rsidR="00570B37" w:rsidRPr="00115061">
        <w:rPr>
          <w:lang w:val="en-GB"/>
        </w:rPr>
        <w:t xml:space="preserve"> of compliance</w:t>
      </w:r>
      <w:bookmarkEnd w:id="8"/>
    </w:p>
    <w:p w14:paraId="11E09AF9" w14:textId="4A2961C2" w:rsidR="00570B37" w:rsidRPr="00115061" w:rsidRDefault="00570B37" w:rsidP="00570B37">
      <w:pPr>
        <w:rPr>
          <w:lang w:val="en-GB"/>
        </w:rPr>
      </w:pPr>
      <w:r w:rsidRPr="00115061">
        <w:rPr>
          <w:lang w:val="en-GB"/>
        </w:rPr>
        <w:t xml:space="preserve">The </w:t>
      </w:r>
      <w:r w:rsidR="00591568">
        <w:rPr>
          <w:lang w:val="en-GB"/>
        </w:rPr>
        <w:t xml:space="preserve">following </w:t>
      </w:r>
      <w:r w:rsidRPr="00115061">
        <w:rPr>
          <w:lang w:val="en-GB"/>
        </w:rPr>
        <w:t xml:space="preserve">table </w:t>
      </w:r>
      <w:r w:rsidR="00591568">
        <w:rPr>
          <w:lang w:val="en-GB"/>
        </w:rPr>
        <w:t xml:space="preserve">provides </w:t>
      </w:r>
      <w:r w:rsidRPr="00115061">
        <w:rPr>
          <w:lang w:val="en-GB"/>
        </w:rPr>
        <w:t xml:space="preserve">an overview of the findings of the assessment on the level of sub-indicators. Each sub-indicator </w:t>
      </w:r>
      <w:r w:rsidR="00591568">
        <w:rPr>
          <w:lang w:val="en-GB"/>
        </w:rPr>
        <w:t xml:space="preserve">is identified depending on the findings (full compliance / gaps identified / substantive gaps identified). </w:t>
      </w:r>
      <w:r w:rsidR="00020CCC" w:rsidRPr="00115061">
        <w:rPr>
          <w:lang w:val="en-GB"/>
        </w:rPr>
        <w:t>This table also shows the</w:t>
      </w:r>
      <w:r w:rsidRPr="00115061">
        <w:rPr>
          <w:lang w:val="en-GB"/>
        </w:rPr>
        <w:t xml:space="preserve"> </w:t>
      </w:r>
      <w:commentRangeStart w:id="9"/>
      <w:r w:rsidRPr="00115061">
        <w:rPr>
          <w:lang w:val="en-GB"/>
        </w:rPr>
        <w:t xml:space="preserve">red flags </w:t>
      </w:r>
      <w:commentRangeEnd w:id="9"/>
      <w:r w:rsidR="00817EDD" w:rsidRPr="00115061">
        <w:rPr>
          <w:rStyle w:val="CommentReference"/>
          <w:lang w:val="en-GB"/>
        </w:rPr>
        <w:commentReference w:id="9"/>
      </w:r>
      <w:r w:rsidR="00020CCC" w:rsidRPr="00115061">
        <w:rPr>
          <w:lang w:val="en-GB"/>
        </w:rPr>
        <w:t>identified.</w:t>
      </w:r>
      <w:r w:rsidRPr="00115061">
        <w:rPr>
          <w:lang w:val="en-GB"/>
        </w:rPr>
        <w:t xml:space="preserve"> </w:t>
      </w:r>
    </w:p>
    <w:tbl>
      <w:tblPr>
        <w:tblStyle w:val="TableGrid1"/>
        <w:tblW w:w="5000" w:type="pct"/>
        <w:tblLook w:val="04A0" w:firstRow="1" w:lastRow="0" w:firstColumn="1" w:lastColumn="0" w:noHBand="0" w:noVBand="1"/>
      </w:tblPr>
      <w:tblGrid>
        <w:gridCol w:w="1799"/>
        <w:gridCol w:w="3309"/>
        <w:gridCol w:w="1261"/>
        <w:gridCol w:w="1100"/>
        <w:gridCol w:w="1240"/>
        <w:gridCol w:w="641"/>
      </w:tblGrid>
      <w:tr w:rsidR="00703B43" w:rsidRPr="00115061" w14:paraId="3D57492E" w14:textId="53297592" w:rsidTr="0045187F">
        <w:trPr>
          <w:trHeight w:val="203"/>
          <w:tblHeader/>
        </w:trPr>
        <w:tc>
          <w:tcPr>
            <w:tcW w:w="2732" w:type="pct"/>
            <w:gridSpan w:val="2"/>
            <w:tcBorders>
              <w:top w:val="single" w:sz="4" w:space="0" w:color="auto"/>
              <w:left w:val="single" w:sz="4" w:space="0" w:color="auto"/>
              <w:bottom w:val="single" w:sz="4" w:space="0" w:color="auto"/>
              <w:right w:val="single" w:sz="4" w:space="0" w:color="auto"/>
            </w:tcBorders>
            <w:shd w:val="clear" w:color="auto" w:fill="auto"/>
          </w:tcPr>
          <w:p w14:paraId="418FB1B5" w14:textId="64509B5E" w:rsidR="00B909A9" w:rsidRPr="00115061" w:rsidRDefault="00B909A9" w:rsidP="00803C52">
            <w:pPr>
              <w:jc w:val="center"/>
              <w:rPr>
                <w:rFonts w:cstheme="minorHAnsi"/>
                <w:b/>
                <w:lang w:val="en-GB"/>
              </w:rPr>
            </w:pPr>
            <w:r w:rsidRPr="00115061">
              <w:rPr>
                <w:rFonts w:cstheme="minorHAnsi"/>
                <w:lang w:val="en-GB"/>
              </w:rPr>
              <w:br w:type="page"/>
            </w:r>
            <w:commentRangeStart w:id="10"/>
            <w:r w:rsidRPr="00115061">
              <w:rPr>
                <w:rFonts w:cstheme="minorHAnsi"/>
                <w:b/>
                <w:lang w:val="en-GB"/>
              </w:rPr>
              <w:t>PILLAR I</w:t>
            </w:r>
            <w:commentRangeEnd w:id="10"/>
            <w:r w:rsidR="007B1A8F">
              <w:rPr>
                <w:rStyle w:val="CommentReference"/>
                <w:rFonts w:eastAsiaTheme="minorEastAsia"/>
                <w:lang w:val="en-US" w:eastAsia="ja-JP"/>
              </w:rPr>
              <w:commentReference w:id="10"/>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3166B91B" w14:textId="06DF1A77" w:rsidR="00B909A9" w:rsidRPr="00703B43" w:rsidRDefault="00703B43" w:rsidP="00703B43">
            <w:pPr>
              <w:jc w:val="center"/>
              <w:rPr>
                <w:rFonts w:cstheme="minorHAnsi"/>
                <w:b/>
                <w:bCs/>
                <w:sz w:val="22"/>
                <w:szCs w:val="22"/>
                <w:lang w:val="en-GB"/>
              </w:rPr>
            </w:pPr>
            <w:r w:rsidRPr="00703B43">
              <w:rPr>
                <w:rFonts w:cstheme="minorHAnsi"/>
                <w:b/>
                <w:bCs/>
                <w:sz w:val="22"/>
                <w:szCs w:val="22"/>
                <w:lang w:val="en-GB"/>
              </w:rPr>
              <w:t>Full compliance</w:t>
            </w:r>
          </w:p>
        </w:tc>
        <w:tc>
          <w:tcPr>
            <w:tcW w:w="588" w:type="pct"/>
            <w:tcBorders>
              <w:top w:val="single" w:sz="4" w:space="0" w:color="auto"/>
              <w:left w:val="single" w:sz="4" w:space="0" w:color="auto"/>
              <w:bottom w:val="single" w:sz="4" w:space="0" w:color="auto"/>
              <w:right w:val="single" w:sz="4" w:space="0" w:color="auto"/>
            </w:tcBorders>
            <w:shd w:val="clear" w:color="auto" w:fill="FFFF00"/>
          </w:tcPr>
          <w:p w14:paraId="7DA75F0A" w14:textId="19267A8E" w:rsidR="00B909A9" w:rsidRPr="00703B43" w:rsidRDefault="00703B43" w:rsidP="00703B43">
            <w:pPr>
              <w:jc w:val="center"/>
              <w:rPr>
                <w:rFonts w:cstheme="minorHAnsi"/>
                <w:b/>
                <w:bCs/>
                <w:sz w:val="22"/>
                <w:szCs w:val="22"/>
                <w:lang w:val="en-GB"/>
              </w:rPr>
            </w:pPr>
            <w:r w:rsidRPr="00703B43">
              <w:rPr>
                <w:rFonts w:cstheme="minorHAnsi"/>
                <w:b/>
                <w:bCs/>
                <w:sz w:val="22"/>
                <w:szCs w:val="22"/>
                <w:lang w:val="en-GB"/>
              </w:rPr>
              <w:t>Gaps identified</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7E045BFA" w14:textId="2EE6EC65" w:rsidR="00B909A9" w:rsidRPr="00703B43" w:rsidRDefault="00703B43" w:rsidP="00703B43">
            <w:pPr>
              <w:jc w:val="center"/>
              <w:rPr>
                <w:rFonts w:cstheme="minorHAnsi"/>
                <w:b/>
                <w:bCs/>
                <w:sz w:val="22"/>
                <w:szCs w:val="22"/>
                <w:lang w:val="en-GB"/>
              </w:rPr>
            </w:pPr>
            <w:r w:rsidRPr="00703B43">
              <w:rPr>
                <w:rFonts w:cstheme="minorHAnsi"/>
                <w:b/>
                <w:bCs/>
                <w:sz w:val="22"/>
                <w:szCs w:val="22"/>
                <w:lang w:val="en-GB"/>
              </w:rPr>
              <w:t>Substantial gaps identified</w:t>
            </w:r>
          </w:p>
        </w:tc>
        <w:tc>
          <w:tcPr>
            <w:tcW w:w="343" w:type="pct"/>
            <w:tcBorders>
              <w:top w:val="single" w:sz="4" w:space="0" w:color="auto"/>
              <w:left w:val="single" w:sz="4" w:space="0" w:color="auto"/>
              <w:bottom w:val="single" w:sz="4" w:space="0" w:color="auto"/>
              <w:right w:val="single" w:sz="4" w:space="0" w:color="auto"/>
            </w:tcBorders>
          </w:tcPr>
          <w:p w14:paraId="789048FD" w14:textId="1883C7AA" w:rsidR="00B909A9" w:rsidRPr="00ED6D54" w:rsidRDefault="00703B43" w:rsidP="00703B43">
            <w:pPr>
              <w:jc w:val="center"/>
              <w:rPr>
                <w:rFonts w:cstheme="minorHAnsi"/>
                <w:b/>
                <w:bCs/>
                <w:color w:val="auto"/>
                <w:sz w:val="22"/>
                <w:szCs w:val="22"/>
                <w:lang w:val="en-GB"/>
              </w:rPr>
            </w:pPr>
            <w:r w:rsidRPr="00ED6D54">
              <w:rPr>
                <w:rFonts w:cstheme="minorHAnsi"/>
                <w:b/>
                <w:bCs/>
                <w:color w:val="auto"/>
                <w:sz w:val="22"/>
                <w:szCs w:val="22"/>
                <w:lang w:val="en-GB"/>
              </w:rPr>
              <w:t>Red flags</w:t>
            </w:r>
          </w:p>
        </w:tc>
      </w:tr>
      <w:tr w:rsidR="00703B43" w:rsidRPr="00115061" w14:paraId="7A1BF53B" w14:textId="0766E25A" w:rsidTr="0045187F">
        <w:trPr>
          <w:trHeight w:val="236"/>
        </w:trPr>
        <w:tc>
          <w:tcPr>
            <w:tcW w:w="962" w:type="pct"/>
            <w:vMerge w:val="restart"/>
            <w:tcBorders>
              <w:top w:val="single" w:sz="4" w:space="0" w:color="auto"/>
              <w:left w:val="single" w:sz="4" w:space="0" w:color="auto"/>
              <w:right w:val="single" w:sz="4" w:space="0" w:color="auto"/>
            </w:tcBorders>
            <w:shd w:val="clear" w:color="auto" w:fill="auto"/>
          </w:tcPr>
          <w:p w14:paraId="589F2DF8" w14:textId="24B25E2D" w:rsidR="00B909A9" w:rsidRPr="00115061" w:rsidRDefault="00BA2DAD" w:rsidP="00570B37">
            <w:pPr>
              <w:jc w:val="left"/>
              <w:rPr>
                <w:rFonts w:cstheme="minorHAnsi"/>
                <w:b/>
                <w:sz w:val="20"/>
                <w:szCs w:val="20"/>
                <w:lang w:val="en-GB"/>
              </w:rPr>
            </w:pPr>
            <w:r w:rsidRPr="00115061">
              <w:rPr>
                <w:rFonts w:cstheme="minorHAnsi"/>
                <w:b/>
                <w:sz w:val="20"/>
                <w:szCs w:val="20"/>
                <w:lang w:val="en-GB"/>
              </w:rPr>
              <w:t xml:space="preserve">1. </w:t>
            </w:r>
            <w:r w:rsidR="0045187F">
              <w:rPr>
                <w:rFonts w:cstheme="minorHAnsi"/>
                <w:b/>
                <w:sz w:val="20"/>
                <w:szCs w:val="20"/>
                <w:lang w:val="en-GB"/>
              </w:rPr>
              <w:t>The legal framework includes appropriate regulations on public procurement professionalisation</w:t>
            </w:r>
          </w:p>
        </w:tc>
        <w:tc>
          <w:tcPr>
            <w:tcW w:w="1770" w:type="pct"/>
            <w:tcBorders>
              <w:top w:val="single" w:sz="4" w:space="0" w:color="auto"/>
              <w:left w:val="single" w:sz="4" w:space="0" w:color="auto"/>
              <w:right w:val="single" w:sz="4" w:space="0" w:color="auto"/>
            </w:tcBorders>
            <w:shd w:val="clear" w:color="auto" w:fill="auto"/>
          </w:tcPr>
          <w:p w14:paraId="6DB36F23" w14:textId="3664964C" w:rsidR="00B909A9" w:rsidRPr="00115061" w:rsidRDefault="00B909A9" w:rsidP="00570B37">
            <w:pPr>
              <w:jc w:val="left"/>
              <w:rPr>
                <w:rFonts w:cstheme="minorHAnsi"/>
                <w:sz w:val="20"/>
                <w:szCs w:val="20"/>
                <w:lang w:val="en-GB"/>
              </w:rPr>
            </w:pPr>
            <w:r w:rsidRPr="00115061">
              <w:rPr>
                <w:rFonts w:cstheme="minorHAnsi"/>
                <w:sz w:val="20"/>
                <w:szCs w:val="20"/>
                <w:lang w:val="en-GB"/>
              </w:rPr>
              <w:t xml:space="preserve">1(a) – </w:t>
            </w:r>
            <w:r w:rsidR="0045187F">
              <w:rPr>
                <w:rFonts w:cstheme="minorHAnsi"/>
                <w:sz w:val="20"/>
                <w:szCs w:val="20"/>
                <w:lang w:val="en-GB"/>
              </w:rPr>
              <w:t>Rules on professionalisation</w:t>
            </w:r>
          </w:p>
        </w:tc>
        <w:tc>
          <w:tcPr>
            <w:tcW w:w="674" w:type="pct"/>
            <w:tcBorders>
              <w:top w:val="single" w:sz="4" w:space="0" w:color="auto"/>
              <w:left w:val="single" w:sz="4" w:space="0" w:color="auto"/>
              <w:right w:val="single" w:sz="4" w:space="0" w:color="auto"/>
            </w:tcBorders>
            <w:shd w:val="clear" w:color="auto" w:fill="auto"/>
          </w:tcPr>
          <w:p w14:paraId="7A8701DA" w14:textId="77777777" w:rsidR="00B909A9" w:rsidRPr="00115061" w:rsidRDefault="00B909A9" w:rsidP="00703B4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4891C040" w14:textId="77777777" w:rsidR="00B909A9" w:rsidRPr="00115061" w:rsidRDefault="00B909A9" w:rsidP="00703B4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468DC93E" w14:textId="0AA0C01E" w:rsidR="00B909A9" w:rsidRPr="00115061" w:rsidRDefault="00B909A9" w:rsidP="00703B4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11065BDB" w14:textId="1558CC42" w:rsidR="00B909A9" w:rsidRPr="00ED6D54" w:rsidRDefault="00B909A9" w:rsidP="00703B43">
            <w:pPr>
              <w:jc w:val="center"/>
              <w:rPr>
                <w:rFonts w:cstheme="minorHAnsi"/>
                <w:color w:val="auto"/>
                <w:sz w:val="20"/>
                <w:szCs w:val="20"/>
                <w:lang w:val="en-GB"/>
              </w:rPr>
            </w:pPr>
          </w:p>
        </w:tc>
      </w:tr>
      <w:tr w:rsidR="00703B43" w:rsidRPr="00115061" w14:paraId="63859029" w14:textId="51DCFE50" w:rsidTr="0045187F">
        <w:trPr>
          <w:trHeight w:val="233"/>
        </w:trPr>
        <w:tc>
          <w:tcPr>
            <w:tcW w:w="962" w:type="pct"/>
            <w:vMerge/>
            <w:tcBorders>
              <w:left w:val="single" w:sz="4" w:space="0" w:color="auto"/>
              <w:right w:val="single" w:sz="4" w:space="0" w:color="auto"/>
            </w:tcBorders>
            <w:shd w:val="clear" w:color="auto" w:fill="auto"/>
          </w:tcPr>
          <w:p w14:paraId="1D9BBFC3" w14:textId="77777777" w:rsidR="00B909A9" w:rsidRPr="00115061" w:rsidRDefault="00B909A9" w:rsidP="00570B37">
            <w:pPr>
              <w:jc w:val="left"/>
              <w:rPr>
                <w:rFonts w:cstheme="minorHAnsi"/>
                <w:sz w:val="20"/>
                <w:szCs w:val="20"/>
                <w:lang w:val="en-GB"/>
              </w:rPr>
            </w:pPr>
          </w:p>
        </w:tc>
        <w:tc>
          <w:tcPr>
            <w:tcW w:w="1770" w:type="pct"/>
            <w:tcBorders>
              <w:left w:val="single" w:sz="4" w:space="0" w:color="auto"/>
              <w:right w:val="single" w:sz="4" w:space="0" w:color="auto"/>
            </w:tcBorders>
            <w:shd w:val="clear" w:color="auto" w:fill="auto"/>
          </w:tcPr>
          <w:p w14:paraId="7B1861E5" w14:textId="58A7DF11" w:rsidR="00B909A9" w:rsidRPr="00115061" w:rsidRDefault="00B909A9" w:rsidP="00570B37">
            <w:pPr>
              <w:jc w:val="left"/>
              <w:rPr>
                <w:rFonts w:cstheme="minorHAnsi"/>
                <w:sz w:val="20"/>
                <w:szCs w:val="20"/>
                <w:lang w:val="en-GB"/>
              </w:rPr>
            </w:pPr>
            <w:r w:rsidRPr="00115061">
              <w:rPr>
                <w:rFonts w:cstheme="minorHAnsi"/>
                <w:sz w:val="20"/>
                <w:szCs w:val="20"/>
                <w:lang w:val="en-GB"/>
              </w:rPr>
              <w:t xml:space="preserve">1(b) – </w:t>
            </w:r>
            <w:r w:rsidR="0045187F">
              <w:rPr>
                <w:rFonts w:cstheme="minorHAnsi"/>
                <w:sz w:val="20"/>
                <w:szCs w:val="20"/>
                <w:lang w:val="en-GB"/>
              </w:rPr>
              <w:t>Rules on private sector participation</w:t>
            </w:r>
          </w:p>
        </w:tc>
        <w:tc>
          <w:tcPr>
            <w:tcW w:w="674" w:type="pct"/>
            <w:tcBorders>
              <w:left w:val="single" w:sz="4" w:space="0" w:color="auto"/>
              <w:right w:val="single" w:sz="4" w:space="0" w:color="auto"/>
            </w:tcBorders>
            <w:shd w:val="clear" w:color="auto" w:fill="auto"/>
          </w:tcPr>
          <w:p w14:paraId="29C4B1BC" w14:textId="77777777" w:rsidR="00B909A9" w:rsidRPr="00115061" w:rsidRDefault="00B909A9" w:rsidP="00703B43">
            <w:pPr>
              <w:jc w:val="center"/>
              <w:rPr>
                <w:rFonts w:cstheme="minorHAnsi"/>
                <w:sz w:val="20"/>
                <w:szCs w:val="20"/>
                <w:lang w:val="en-GB"/>
              </w:rPr>
            </w:pPr>
          </w:p>
        </w:tc>
        <w:tc>
          <w:tcPr>
            <w:tcW w:w="588" w:type="pct"/>
            <w:tcBorders>
              <w:left w:val="single" w:sz="4" w:space="0" w:color="auto"/>
              <w:right w:val="single" w:sz="4" w:space="0" w:color="auto"/>
            </w:tcBorders>
            <w:shd w:val="clear" w:color="auto" w:fill="auto"/>
          </w:tcPr>
          <w:p w14:paraId="3A1DB393" w14:textId="53F704F5" w:rsidR="00B909A9" w:rsidRPr="00115061" w:rsidRDefault="00B909A9" w:rsidP="00703B43">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7F3456D1" w14:textId="77777777" w:rsidR="00B909A9" w:rsidRPr="00115061" w:rsidRDefault="00B909A9" w:rsidP="00703B43">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26151BB4" w14:textId="77777777" w:rsidR="00B909A9" w:rsidRPr="00ED6D54" w:rsidRDefault="00B909A9" w:rsidP="00703B43">
            <w:pPr>
              <w:jc w:val="center"/>
              <w:rPr>
                <w:rFonts w:cstheme="minorHAnsi"/>
                <w:color w:val="auto"/>
                <w:sz w:val="20"/>
                <w:szCs w:val="20"/>
                <w:lang w:val="en-GB"/>
              </w:rPr>
            </w:pPr>
          </w:p>
        </w:tc>
      </w:tr>
      <w:tr w:rsidR="00BA2DAD" w:rsidRPr="00115061" w14:paraId="64CB2606" w14:textId="77777777" w:rsidTr="0045187F">
        <w:trPr>
          <w:trHeight w:val="236"/>
        </w:trPr>
        <w:tc>
          <w:tcPr>
            <w:tcW w:w="962" w:type="pct"/>
            <w:vMerge w:val="restart"/>
            <w:tcBorders>
              <w:top w:val="single" w:sz="4" w:space="0" w:color="auto"/>
              <w:left w:val="single" w:sz="4" w:space="0" w:color="auto"/>
              <w:right w:val="single" w:sz="4" w:space="0" w:color="auto"/>
            </w:tcBorders>
            <w:shd w:val="clear" w:color="auto" w:fill="auto"/>
          </w:tcPr>
          <w:p w14:paraId="53A47B53" w14:textId="5CBDB835" w:rsidR="00BA2DAD" w:rsidRPr="00115061" w:rsidRDefault="00BA2DAD" w:rsidP="00BA2DAD">
            <w:pPr>
              <w:jc w:val="left"/>
              <w:rPr>
                <w:rFonts w:cstheme="minorHAnsi"/>
                <w:b/>
                <w:sz w:val="20"/>
                <w:szCs w:val="20"/>
                <w:lang w:val="en-GB"/>
              </w:rPr>
            </w:pPr>
            <w:r w:rsidRPr="00115061">
              <w:rPr>
                <w:rFonts w:cstheme="minorHAnsi"/>
                <w:b/>
                <w:sz w:val="20"/>
                <w:szCs w:val="20"/>
                <w:lang w:val="en-GB"/>
              </w:rPr>
              <w:t>2. Implementing regu</w:t>
            </w:r>
            <w:r>
              <w:rPr>
                <w:rFonts w:cstheme="minorHAnsi"/>
                <w:b/>
                <w:sz w:val="20"/>
                <w:szCs w:val="20"/>
                <w:lang w:val="en-GB"/>
              </w:rPr>
              <w:t>lations and tools</w:t>
            </w:r>
            <w:r w:rsidR="0045187F">
              <w:rPr>
                <w:rFonts w:cstheme="minorHAnsi"/>
                <w:b/>
                <w:sz w:val="20"/>
                <w:szCs w:val="20"/>
                <w:lang w:val="en-GB"/>
              </w:rPr>
              <w:t xml:space="preserve"> </w:t>
            </w:r>
            <w:r w:rsidR="0045187F">
              <w:rPr>
                <w:b/>
                <w:sz w:val="20"/>
                <w:szCs w:val="20"/>
                <w:lang w:val="en-GB"/>
              </w:rPr>
              <w:t>to support public procurement professionalisation</w:t>
            </w:r>
          </w:p>
        </w:tc>
        <w:tc>
          <w:tcPr>
            <w:tcW w:w="1770" w:type="pct"/>
            <w:tcBorders>
              <w:left w:val="single" w:sz="4" w:space="0" w:color="auto"/>
              <w:bottom w:val="single" w:sz="4" w:space="0" w:color="auto"/>
              <w:right w:val="single" w:sz="4" w:space="0" w:color="auto"/>
            </w:tcBorders>
            <w:shd w:val="clear" w:color="auto" w:fill="auto"/>
          </w:tcPr>
          <w:p w14:paraId="681BF2FF" w14:textId="403CF011" w:rsidR="00BA2DAD" w:rsidRPr="00115061" w:rsidRDefault="00BA2DAD" w:rsidP="00BA2DAD">
            <w:pPr>
              <w:jc w:val="left"/>
              <w:rPr>
                <w:rFonts w:cstheme="minorHAnsi"/>
                <w:sz w:val="20"/>
                <w:szCs w:val="20"/>
                <w:lang w:val="en-GB"/>
              </w:rPr>
            </w:pPr>
            <w:r w:rsidRPr="00115061">
              <w:rPr>
                <w:rFonts w:cstheme="minorHAnsi"/>
                <w:sz w:val="20"/>
                <w:szCs w:val="20"/>
                <w:lang w:val="en-GB"/>
              </w:rPr>
              <w:t xml:space="preserve">2(a) – </w:t>
            </w:r>
            <w:r w:rsidR="0045187F">
              <w:rPr>
                <w:rFonts w:cstheme="minorHAnsi"/>
                <w:sz w:val="20"/>
                <w:szCs w:val="20"/>
                <w:lang w:val="en-GB"/>
              </w:rPr>
              <w:t>R</w:t>
            </w:r>
            <w:r w:rsidR="0045187F">
              <w:rPr>
                <w:sz w:val="20"/>
                <w:szCs w:val="20"/>
                <w:lang w:val="en-GB"/>
              </w:rPr>
              <w:t>ecognition of public procurement as a professional function</w:t>
            </w:r>
          </w:p>
        </w:tc>
        <w:tc>
          <w:tcPr>
            <w:tcW w:w="674" w:type="pct"/>
            <w:tcBorders>
              <w:top w:val="single" w:sz="4" w:space="0" w:color="auto"/>
              <w:left w:val="single" w:sz="4" w:space="0" w:color="auto"/>
              <w:right w:val="single" w:sz="4" w:space="0" w:color="auto"/>
            </w:tcBorders>
            <w:shd w:val="clear" w:color="auto" w:fill="auto"/>
          </w:tcPr>
          <w:p w14:paraId="1346044B" w14:textId="77777777" w:rsidR="00BA2DAD" w:rsidRPr="00115061" w:rsidRDefault="00BA2DAD" w:rsidP="00BA2DA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001F7B0E" w14:textId="77777777" w:rsidR="00BA2DAD" w:rsidRPr="00115061" w:rsidRDefault="00BA2DAD" w:rsidP="00BA2DA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52C07857" w14:textId="77777777" w:rsidR="00BA2DAD" w:rsidRPr="00115061" w:rsidRDefault="00BA2DAD" w:rsidP="00BA2DA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3CD57A8C" w14:textId="77777777" w:rsidR="00BA2DAD" w:rsidRPr="00ED6D54" w:rsidRDefault="00BA2DAD" w:rsidP="00BA2DAD">
            <w:pPr>
              <w:jc w:val="center"/>
              <w:rPr>
                <w:rFonts w:cstheme="minorHAnsi"/>
                <w:color w:val="auto"/>
                <w:sz w:val="20"/>
                <w:szCs w:val="20"/>
                <w:lang w:val="en-GB"/>
              </w:rPr>
            </w:pPr>
          </w:p>
        </w:tc>
      </w:tr>
      <w:tr w:rsidR="00BA2DAD" w:rsidRPr="00115061" w14:paraId="3B80201C" w14:textId="77777777" w:rsidTr="0045187F">
        <w:trPr>
          <w:trHeight w:val="236"/>
        </w:trPr>
        <w:tc>
          <w:tcPr>
            <w:tcW w:w="962" w:type="pct"/>
            <w:vMerge/>
            <w:tcBorders>
              <w:left w:val="single" w:sz="4" w:space="0" w:color="auto"/>
              <w:right w:val="single" w:sz="4" w:space="0" w:color="auto"/>
            </w:tcBorders>
            <w:shd w:val="clear" w:color="auto" w:fill="auto"/>
          </w:tcPr>
          <w:p w14:paraId="3F21558D" w14:textId="77777777" w:rsidR="00BA2DAD" w:rsidRPr="00115061" w:rsidRDefault="00BA2DAD" w:rsidP="00BA2DAD">
            <w:pPr>
              <w:jc w:val="left"/>
              <w:rPr>
                <w:rFonts w:cstheme="minorHAnsi"/>
                <w:b/>
                <w:sz w:val="20"/>
                <w:szCs w:val="20"/>
                <w:lang w:val="en-GB"/>
              </w:rPr>
            </w:pPr>
          </w:p>
        </w:tc>
        <w:tc>
          <w:tcPr>
            <w:tcW w:w="1770" w:type="pct"/>
            <w:tcBorders>
              <w:left w:val="single" w:sz="4" w:space="0" w:color="auto"/>
              <w:bottom w:val="single" w:sz="4" w:space="0" w:color="auto"/>
              <w:right w:val="single" w:sz="4" w:space="0" w:color="auto"/>
            </w:tcBorders>
            <w:shd w:val="clear" w:color="auto" w:fill="auto"/>
          </w:tcPr>
          <w:p w14:paraId="7CDBD996" w14:textId="55779431" w:rsidR="00BA2DAD" w:rsidRPr="00115061" w:rsidRDefault="00BA2DAD" w:rsidP="00BA2DAD">
            <w:pPr>
              <w:jc w:val="left"/>
              <w:rPr>
                <w:rFonts w:cstheme="minorHAnsi"/>
                <w:sz w:val="20"/>
                <w:szCs w:val="20"/>
                <w:lang w:val="en-GB"/>
              </w:rPr>
            </w:pPr>
            <w:r w:rsidRPr="00115061">
              <w:rPr>
                <w:rFonts w:cstheme="minorHAnsi"/>
                <w:sz w:val="20"/>
                <w:szCs w:val="20"/>
                <w:lang w:val="en-GB"/>
              </w:rPr>
              <w:t xml:space="preserve">2(b) – </w:t>
            </w:r>
            <w:r w:rsidR="0045187F">
              <w:rPr>
                <w:rFonts w:cstheme="minorHAnsi"/>
                <w:sz w:val="20"/>
                <w:szCs w:val="20"/>
                <w:lang w:val="en-GB"/>
              </w:rPr>
              <w:t>Implementing regulations define the professionalisation policy</w:t>
            </w:r>
          </w:p>
        </w:tc>
        <w:tc>
          <w:tcPr>
            <w:tcW w:w="674" w:type="pct"/>
            <w:tcBorders>
              <w:top w:val="single" w:sz="4" w:space="0" w:color="auto"/>
              <w:left w:val="single" w:sz="4" w:space="0" w:color="auto"/>
              <w:right w:val="single" w:sz="4" w:space="0" w:color="auto"/>
            </w:tcBorders>
            <w:shd w:val="clear" w:color="auto" w:fill="auto"/>
          </w:tcPr>
          <w:p w14:paraId="193747C1" w14:textId="77777777" w:rsidR="00BA2DAD" w:rsidRPr="00115061" w:rsidRDefault="00BA2DAD" w:rsidP="00BA2DA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78C87F1E" w14:textId="77777777" w:rsidR="00BA2DAD" w:rsidRPr="00115061" w:rsidRDefault="00BA2DAD" w:rsidP="00BA2DA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3EC19118" w14:textId="77777777" w:rsidR="00BA2DAD" w:rsidRPr="00115061" w:rsidRDefault="00BA2DAD" w:rsidP="00BA2DA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22E80E7A" w14:textId="77777777" w:rsidR="00BA2DAD" w:rsidRPr="00ED6D54" w:rsidRDefault="00BA2DAD" w:rsidP="00BA2DAD">
            <w:pPr>
              <w:jc w:val="center"/>
              <w:rPr>
                <w:rFonts w:cstheme="minorHAnsi"/>
                <w:color w:val="auto"/>
                <w:sz w:val="20"/>
                <w:szCs w:val="20"/>
                <w:lang w:val="en-GB"/>
              </w:rPr>
            </w:pPr>
          </w:p>
        </w:tc>
      </w:tr>
      <w:tr w:rsidR="00BA2DAD" w:rsidRPr="00115061" w14:paraId="48713447" w14:textId="77777777" w:rsidTr="0045187F">
        <w:trPr>
          <w:trHeight w:val="236"/>
        </w:trPr>
        <w:tc>
          <w:tcPr>
            <w:tcW w:w="962" w:type="pct"/>
            <w:vMerge/>
            <w:tcBorders>
              <w:left w:val="single" w:sz="4" w:space="0" w:color="auto"/>
              <w:right w:val="single" w:sz="4" w:space="0" w:color="auto"/>
            </w:tcBorders>
            <w:shd w:val="clear" w:color="auto" w:fill="auto"/>
          </w:tcPr>
          <w:p w14:paraId="2DB454A3" w14:textId="77777777" w:rsidR="00BA2DAD" w:rsidRPr="00115061" w:rsidRDefault="00BA2DAD" w:rsidP="00BA2DAD">
            <w:pPr>
              <w:jc w:val="left"/>
              <w:rPr>
                <w:rFonts w:cstheme="minorHAnsi"/>
                <w:b/>
                <w:sz w:val="20"/>
                <w:szCs w:val="20"/>
                <w:lang w:val="en-GB"/>
              </w:rPr>
            </w:pPr>
          </w:p>
        </w:tc>
        <w:tc>
          <w:tcPr>
            <w:tcW w:w="1770" w:type="pct"/>
            <w:tcBorders>
              <w:left w:val="single" w:sz="4" w:space="0" w:color="auto"/>
              <w:bottom w:val="single" w:sz="4" w:space="0" w:color="auto"/>
              <w:right w:val="single" w:sz="4" w:space="0" w:color="auto"/>
            </w:tcBorders>
            <w:shd w:val="clear" w:color="auto" w:fill="auto"/>
          </w:tcPr>
          <w:p w14:paraId="7A1FAD3B" w14:textId="08F3EC91" w:rsidR="00BA2DAD" w:rsidRPr="00115061" w:rsidRDefault="00BA2DAD" w:rsidP="00BA2DAD">
            <w:pPr>
              <w:jc w:val="left"/>
              <w:rPr>
                <w:rFonts w:cstheme="minorHAnsi"/>
                <w:sz w:val="20"/>
                <w:szCs w:val="20"/>
                <w:lang w:val="en-GB"/>
              </w:rPr>
            </w:pPr>
            <w:r w:rsidRPr="00115061">
              <w:rPr>
                <w:rFonts w:cstheme="minorHAnsi"/>
                <w:sz w:val="20"/>
                <w:szCs w:val="20"/>
                <w:lang w:val="en-GB"/>
              </w:rPr>
              <w:t xml:space="preserve">2(c) – </w:t>
            </w:r>
            <w:r w:rsidR="0045187F">
              <w:rPr>
                <w:rFonts w:cstheme="minorHAnsi"/>
                <w:sz w:val="20"/>
                <w:szCs w:val="20"/>
                <w:lang w:val="en-GB"/>
              </w:rPr>
              <w:t>Strategic and specialised procurement, horizontal policy objectives and international obligations</w:t>
            </w:r>
            <w:r w:rsidRPr="00115061">
              <w:rPr>
                <w:rFonts w:cstheme="minorHAnsi"/>
                <w:sz w:val="20"/>
                <w:szCs w:val="20"/>
                <w:lang w:val="en-GB"/>
              </w:rPr>
              <w:t xml:space="preserve"> </w:t>
            </w:r>
          </w:p>
        </w:tc>
        <w:tc>
          <w:tcPr>
            <w:tcW w:w="674" w:type="pct"/>
            <w:tcBorders>
              <w:top w:val="single" w:sz="4" w:space="0" w:color="auto"/>
              <w:left w:val="single" w:sz="4" w:space="0" w:color="auto"/>
              <w:right w:val="single" w:sz="4" w:space="0" w:color="auto"/>
            </w:tcBorders>
            <w:shd w:val="clear" w:color="auto" w:fill="auto"/>
          </w:tcPr>
          <w:p w14:paraId="2C459D3B" w14:textId="77777777" w:rsidR="00BA2DAD" w:rsidRPr="00115061" w:rsidRDefault="00BA2DAD" w:rsidP="00BA2DA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05ADB063" w14:textId="77777777" w:rsidR="00BA2DAD" w:rsidRPr="00115061" w:rsidRDefault="00BA2DAD" w:rsidP="00BA2DA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7354722B" w14:textId="77777777" w:rsidR="00BA2DAD" w:rsidRPr="00115061" w:rsidRDefault="00BA2DAD" w:rsidP="00BA2DA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09ACE245" w14:textId="77777777" w:rsidR="00BA2DAD" w:rsidRPr="00ED6D54" w:rsidRDefault="00BA2DAD" w:rsidP="00BA2DAD">
            <w:pPr>
              <w:jc w:val="center"/>
              <w:rPr>
                <w:rFonts w:cstheme="minorHAnsi"/>
                <w:color w:val="auto"/>
                <w:sz w:val="20"/>
                <w:szCs w:val="20"/>
                <w:lang w:val="en-GB"/>
              </w:rPr>
            </w:pPr>
          </w:p>
        </w:tc>
      </w:tr>
    </w:tbl>
    <w:p w14:paraId="5A72A335" w14:textId="7AEC011E" w:rsidR="00F04DDD" w:rsidRDefault="00F04DDD">
      <w:pPr>
        <w:jc w:val="left"/>
        <w:rPr>
          <w:rFonts w:cstheme="minorHAnsi"/>
          <w:lang w:val="en-GB"/>
        </w:rPr>
      </w:pPr>
    </w:p>
    <w:p w14:paraId="4AF3C612" w14:textId="77777777" w:rsidR="00F04DDD" w:rsidRPr="00115061" w:rsidRDefault="00F04DDD">
      <w:pPr>
        <w:jc w:val="left"/>
        <w:rPr>
          <w:rFonts w:cstheme="minorHAnsi"/>
          <w:lang w:val="en-GB"/>
        </w:rPr>
      </w:pPr>
    </w:p>
    <w:tbl>
      <w:tblPr>
        <w:tblStyle w:val="TableGrid1"/>
        <w:tblW w:w="5000" w:type="pct"/>
        <w:tblLook w:val="04A0" w:firstRow="1" w:lastRow="0" w:firstColumn="1" w:lastColumn="0" w:noHBand="0" w:noVBand="1"/>
      </w:tblPr>
      <w:tblGrid>
        <w:gridCol w:w="2018"/>
        <w:gridCol w:w="3089"/>
        <w:gridCol w:w="1262"/>
        <w:gridCol w:w="1100"/>
        <w:gridCol w:w="1240"/>
        <w:gridCol w:w="641"/>
      </w:tblGrid>
      <w:tr w:rsidR="00F622A4" w:rsidRPr="00115061" w14:paraId="5A1FA03E" w14:textId="77777777" w:rsidTr="00C22BEF">
        <w:trPr>
          <w:trHeight w:val="203"/>
          <w:tblHeader/>
        </w:trPr>
        <w:tc>
          <w:tcPr>
            <w:tcW w:w="2731" w:type="pct"/>
            <w:gridSpan w:val="2"/>
            <w:tcBorders>
              <w:top w:val="single" w:sz="4" w:space="0" w:color="auto"/>
              <w:left w:val="single" w:sz="4" w:space="0" w:color="auto"/>
              <w:bottom w:val="single" w:sz="4" w:space="0" w:color="auto"/>
              <w:right w:val="single" w:sz="4" w:space="0" w:color="auto"/>
            </w:tcBorders>
            <w:shd w:val="clear" w:color="auto" w:fill="auto"/>
          </w:tcPr>
          <w:p w14:paraId="761C74F0" w14:textId="52537C93" w:rsidR="00F622A4" w:rsidRPr="00115061" w:rsidRDefault="00F622A4" w:rsidP="004A3EE9">
            <w:pPr>
              <w:jc w:val="center"/>
              <w:rPr>
                <w:rFonts w:cstheme="minorHAnsi"/>
                <w:b/>
                <w:lang w:val="en-GB"/>
              </w:rPr>
            </w:pPr>
            <w:r w:rsidRPr="00115061">
              <w:rPr>
                <w:rFonts w:cstheme="minorHAnsi"/>
                <w:lang w:val="en-GB"/>
              </w:rPr>
              <w:br w:type="page"/>
            </w:r>
            <w:r w:rsidRPr="00115061">
              <w:rPr>
                <w:rFonts w:cstheme="minorHAnsi"/>
                <w:b/>
                <w:lang w:val="en-GB"/>
              </w:rPr>
              <w:t>PILLAR I</w:t>
            </w:r>
            <w:r w:rsidR="00C24B69">
              <w:rPr>
                <w:rFonts w:cstheme="minorHAnsi"/>
                <w:b/>
                <w:lang w:val="en-GB"/>
              </w:rPr>
              <w:t>I</w:t>
            </w:r>
          </w:p>
        </w:tc>
        <w:tc>
          <w:tcPr>
            <w:tcW w:w="675" w:type="pct"/>
            <w:tcBorders>
              <w:top w:val="single" w:sz="4" w:space="0" w:color="auto"/>
              <w:left w:val="single" w:sz="4" w:space="0" w:color="auto"/>
              <w:bottom w:val="single" w:sz="4" w:space="0" w:color="auto"/>
              <w:right w:val="single" w:sz="4" w:space="0" w:color="auto"/>
            </w:tcBorders>
            <w:shd w:val="clear" w:color="auto" w:fill="92D050"/>
          </w:tcPr>
          <w:p w14:paraId="3CBF0942" w14:textId="77777777" w:rsidR="00F622A4" w:rsidRPr="00703B43" w:rsidRDefault="00F622A4" w:rsidP="004A3EE9">
            <w:pPr>
              <w:jc w:val="center"/>
              <w:rPr>
                <w:rFonts w:cstheme="minorHAnsi"/>
                <w:b/>
                <w:bCs/>
                <w:sz w:val="22"/>
                <w:szCs w:val="22"/>
                <w:lang w:val="en-GB"/>
              </w:rPr>
            </w:pPr>
            <w:r w:rsidRPr="00703B43">
              <w:rPr>
                <w:rFonts w:cstheme="minorHAnsi"/>
                <w:b/>
                <w:bCs/>
                <w:sz w:val="22"/>
                <w:szCs w:val="22"/>
                <w:lang w:val="en-GB"/>
              </w:rPr>
              <w:t>Full compliance</w:t>
            </w:r>
          </w:p>
        </w:tc>
        <w:tc>
          <w:tcPr>
            <w:tcW w:w="588" w:type="pct"/>
            <w:tcBorders>
              <w:top w:val="single" w:sz="4" w:space="0" w:color="auto"/>
              <w:left w:val="single" w:sz="4" w:space="0" w:color="auto"/>
              <w:bottom w:val="single" w:sz="4" w:space="0" w:color="auto"/>
              <w:right w:val="single" w:sz="4" w:space="0" w:color="auto"/>
            </w:tcBorders>
            <w:shd w:val="clear" w:color="auto" w:fill="FFFF00"/>
          </w:tcPr>
          <w:p w14:paraId="07D2FC60" w14:textId="77777777" w:rsidR="00F622A4" w:rsidRPr="00703B43" w:rsidRDefault="00F622A4" w:rsidP="004A3EE9">
            <w:pPr>
              <w:jc w:val="center"/>
              <w:rPr>
                <w:rFonts w:cstheme="minorHAnsi"/>
                <w:b/>
                <w:bCs/>
                <w:sz w:val="22"/>
                <w:szCs w:val="22"/>
                <w:lang w:val="en-GB"/>
              </w:rPr>
            </w:pPr>
            <w:r w:rsidRPr="00703B43">
              <w:rPr>
                <w:rFonts w:cstheme="minorHAnsi"/>
                <w:b/>
                <w:bCs/>
                <w:sz w:val="22"/>
                <w:szCs w:val="22"/>
                <w:lang w:val="en-GB"/>
              </w:rPr>
              <w:t>Gaps identified</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4428A8B8" w14:textId="77777777" w:rsidR="00F622A4" w:rsidRPr="00703B43" w:rsidRDefault="00F622A4" w:rsidP="004A3EE9">
            <w:pPr>
              <w:jc w:val="center"/>
              <w:rPr>
                <w:rFonts w:cstheme="minorHAnsi"/>
                <w:b/>
                <w:bCs/>
                <w:sz w:val="22"/>
                <w:szCs w:val="22"/>
                <w:lang w:val="en-GB"/>
              </w:rPr>
            </w:pPr>
            <w:r w:rsidRPr="00703B43">
              <w:rPr>
                <w:rFonts w:cstheme="minorHAnsi"/>
                <w:b/>
                <w:bCs/>
                <w:sz w:val="22"/>
                <w:szCs w:val="22"/>
                <w:lang w:val="en-GB"/>
              </w:rPr>
              <w:t>Substantial gaps identified</w:t>
            </w:r>
          </w:p>
        </w:tc>
        <w:tc>
          <w:tcPr>
            <w:tcW w:w="343" w:type="pct"/>
            <w:tcBorders>
              <w:top w:val="single" w:sz="4" w:space="0" w:color="auto"/>
              <w:left w:val="single" w:sz="4" w:space="0" w:color="auto"/>
              <w:bottom w:val="single" w:sz="4" w:space="0" w:color="auto"/>
              <w:right w:val="single" w:sz="4" w:space="0" w:color="auto"/>
            </w:tcBorders>
          </w:tcPr>
          <w:p w14:paraId="66DD7D5F" w14:textId="77777777" w:rsidR="00F622A4" w:rsidRPr="00ED6D54" w:rsidRDefault="00F622A4" w:rsidP="004A3EE9">
            <w:pPr>
              <w:jc w:val="center"/>
              <w:rPr>
                <w:rFonts w:cstheme="minorHAnsi"/>
                <w:b/>
                <w:bCs/>
                <w:color w:val="auto"/>
                <w:sz w:val="22"/>
                <w:szCs w:val="22"/>
                <w:lang w:val="en-GB"/>
              </w:rPr>
            </w:pPr>
            <w:r w:rsidRPr="00ED6D54">
              <w:rPr>
                <w:rFonts w:cstheme="minorHAnsi"/>
                <w:b/>
                <w:bCs/>
                <w:color w:val="auto"/>
                <w:sz w:val="22"/>
                <w:szCs w:val="22"/>
                <w:lang w:val="en-GB"/>
              </w:rPr>
              <w:t>Red flags</w:t>
            </w:r>
          </w:p>
        </w:tc>
      </w:tr>
      <w:tr w:rsidR="00C22BEF" w:rsidRPr="00115061" w14:paraId="363E973E" w14:textId="77777777" w:rsidTr="00C22BEF">
        <w:trPr>
          <w:trHeight w:val="236"/>
        </w:trPr>
        <w:tc>
          <w:tcPr>
            <w:tcW w:w="1079" w:type="pct"/>
            <w:tcBorders>
              <w:top w:val="single" w:sz="4" w:space="0" w:color="auto"/>
              <w:left w:val="single" w:sz="4" w:space="0" w:color="auto"/>
              <w:right w:val="single" w:sz="4" w:space="0" w:color="auto"/>
            </w:tcBorders>
            <w:shd w:val="clear" w:color="auto" w:fill="auto"/>
          </w:tcPr>
          <w:p w14:paraId="5629A150" w14:textId="77777777" w:rsidR="00C22BEF" w:rsidRPr="00115061" w:rsidRDefault="00C22BEF" w:rsidP="00A10348">
            <w:pPr>
              <w:jc w:val="left"/>
              <w:rPr>
                <w:rFonts w:cstheme="minorHAnsi"/>
                <w:b/>
                <w:sz w:val="20"/>
                <w:szCs w:val="20"/>
                <w:lang w:val="en-GB"/>
              </w:rPr>
            </w:pPr>
            <w:r w:rsidRPr="00115061">
              <w:rPr>
                <w:rFonts w:cstheme="minorHAnsi"/>
                <w:b/>
                <w:sz w:val="20"/>
                <w:szCs w:val="20"/>
                <w:lang w:val="en-GB"/>
              </w:rPr>
              <w:t xml:space="preserve">3. </w:t>
            </w:r>
            <w:r>
              <w:rPr>
                <w:rFonts w:cstheme="minorHAnsi"/>
                <w:b/>
                <w:sz w:val="20"/>
                <w:szCs w:val="20"/>
                <w:lang w:val="en-GB"/>
              </w:rPr>
              <w:t>Professionalisation is a key component of the public procurement system</w:t>
            </w:r>
          </w:p>
        </w:tc>
        <w:tc>
          <w:tcPr>
            <w:tcW w:w="1652" w:type="pct"/>
            <w:tcBorders>
              <w:left w:val="single" w:sz="4" w:space="0" w:color="auto"/>
              <w:bottom w:val="single" w:sz="4" w:space="0" w:color="auto"/>
              <w:right w:val="single" w:sz="4" w:space="0" w:color="auto"/>
            </w:tcBorders>
            <w:shd w:val="clear" w:color="auto" w:fill="auto"/>
          </w:tcPr>
          <w:p w14:paraId="161E5601" w14:textId="77777777" w:rsidR="00C22BEF" w:rsidRPr="00115061" w:rsidRDefault="00C22BEF" w:rsidP="00A10348">
            <w:pPr>
              <w:jc w:val="left"/>
              <w:rPr>
                <w:rFonts w:cstheme="minorHAnsi"/>
                <w:sz w:val="20"/>
                <w:szCs w:val="20"/>
                <w:lang w:val="en-GB"/>
              </w:rPr>
            </w:pPr>
            <w:r>
              <w:rPr>
                <w:rFonts w:cstheme="minorHAnsi"/>
                <w:sz w:val="20"/>
                <w:szCs w:val="20"/>
                <w:lang w:val="en-GB"/>
              </w:rPr>
              <w:t>3(a) – The professionalisation is a key component of the public procurement system</w:t>
            </w:r>
          </w:p>
        </w:tc>
        <w:tc>
          <w:tcPr>
            <w:tcW w:w="675" w:type="pct"/>
            <w:tcBorders>
              <w:top w:val="single" w:sz="4" w:space="0" w:color="auto"/>
              <w:left w:val="single" w:sz="4" w:space="0" w:color="auto"/>
              <w:right w:val="single" w:sz="4" w:space="0" w:color="auto"/>
            </w:tcBorders>
            <w:shd w:val="clear" w:color="auto" w:fill="auto"/>
          </w:tcPr>
          <w:p w14:paraId="24D612F8" w14:textId="77777777" w:rsidR="00C22BEF" w:rsidRPr="00115061" w:rsidRDefault="00C22BEF" w:rsidP="00A10348">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43A28D2F" w14:textId="77777777" w:rsidR="00C22BEF" w:rsidRPr="00115061" w:rsidRDefault="00C22BEF" w:rsidP="00A10348">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4E0F1CCA" w14:textId="77777777" w:rsidR="00C22BEF" w:rsidRPr="00115061" w:rsidRDefault="00C22BEF" w:rsidP="00A10348">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34D04D9F" w14:textId="77777777" w:rsidR="00C22BEF" w:rsidRPr="00ED6D54" w:rsidRDefault="00C22BEF" w:rsidP="00A10348">
            <w:pPr>
              <w:jc w:val="center"/>
              <w:rPr>
                <w:rFonts w:cstheme="minorHAnsi"/>
                <w:color w:val="auto"/>
                <w:sz w:val="20"/>
                <w:szCs w:val="20"/>
                <w:lang w:val="en-GB"/>
              </w:rPr>
            </w:pPr>
          </w:p>
        </w:tc>
      </w:tr>
      <w:tr w:rsidR="00DE04AC" w:rsidRPr="00115061" w14:paraId="45B3EF08" w14:textId="77777777" w:rsidTr="00C22BEF">
        <w:trPr>
          <w:trHeight w:val="236"/>
        </w:trPr>
        <w:tc>
          <w:tcPr>
            <w:tcW w:w="1079" w:type="pct"/>
            <w:vMerge w:val="restart"/>
            <w:tcBorders>
              <w:top w:val="single" w:sz="4" w:space="0" w:color="auto"/>
              <w:left w:val="single" w:sz="4" w:space="0" w:color="auto"/>
              <w:right w:val="single" w:sz="4" w:space="0" w:color="auto"/>
            </w:tcBorders>
            <w:shd w:val="clear" w:color="auto" w:fill="auto"/>
          </w:tcPr>
          <w:p w14:paraId="0A535899" w14:textId="28B341B3" w:rsidR="00DE04AC" w:rsidRPr="00115061" w:rsidRDefault="00DE04AC" w:rsidP="004A3EE9">
            <w:pPr>
              <w:jc w:val="left"/>
              <w:rPr>
                <w:rFonts w:cstheme="minorHAnsi"/>
                <w:b/>
                <w:sz w:val="20"/>
                <w:szCs w:val="20"/>
                <w:lang w:val="en-GB"/>
              </w:rPr>
            </w:pPr>
            <w:r>
              <w:rPr>
                <w:rFonts w:cstheme="minorHAnsi"/>
                <w:b/>
                <w:sz w:val="20"/>
                <w:szCs w:val="20"/>
                <w:lang w:val="en-GB"/>
              </w:rPr>
              <w:t>4</w:t>
            </w:r>
            <w:r w:rsidRPr="00115061">
              <w:rPr>
                <w:rFonts w:cstheme="minorHAnsi"/>
                <w:b/>
                <w:sz w:val="20"/>
                <w:szCs w:val="20"/>
                <w:lang w:val="en-GB"/>
              </w:rPr>
              <w:t xml:space="preserve">. </w:t>
            </w:r>
            <w:r>
              <w:rPr>
                <w:rFonts w:cstheme="minorHAnsi"/>
                <w:b/>
                <w:sz w:val="20"/>
                <w:szCs w:val="20"/>
                <w:lang w:val="en-GB"/>
              </w:rPr>
              <w:t>Professionalisation takes place in an environment of planning, monitoring and evaluation</w:t>
            </w:r>
          </w:p>
        </w:tc>
        <w:tc>
          <w:tcPr>
            <w:tcW w:w="1652" w:type="pct"/>
            <w:tcBorders>
              <w:top w:val="single" w:sz="4" w:space="0" w:color="auto"/>
              <w:left w:val="single" w:sz="4" w:space="0" w:color="auto"/>
              <w:right w:val="single" w:sz="4" w:space="0" w:color="auto"/>
            </w:tcBorders>
            <w:shd w:val="clear" w:color="auto" w:fill="auto"/>
          </w:tcPr>
          <w:p w14:paraId="3A7A928A" w14:textId="178B43F8" w:rsidR="00DE04AC" w:rsidRPr="00115061" w:rsidRDefault="00DE04AC" w:rsidP="004A3EE9">
            <w:pPr>
              <w:jc w:val="left"/>
              <w:rPr>
                <w:rFonts w:cstheme="minorHAnsi"/>
                <w:sz w:val="20"/>
                <w:szCs w:val="20"/>
                <w:lang w:val="en-GB"/>
              </w:rPr>
            </w:pPr>
            <w:r>
              <w:rPr>
                <w:rFonts w:cstheme="minorHAnsi"/>
                <w:sz w:val="20"/>
                <w:szCs w:val="20"/>
                <w:lang w:val="en-GB"/>
              </w:rPr>
              <w:t>4</w:t>
            </w:r>
            <w:r w:rsidRPr="00115061">
              <w:rPr>
                <w:rFonts w:cstheme="minorHAnsi"/>
                <w:sz w:val="20"/>
                <w:szCs w:val="20"/>
                <w:lang w:val="en-GB"/>
              </w:rPr>
              <w:t xml:space="preserve">(a) – </w:t>
            </w:r>
            <w:r>
              <w:rPr>
                <w:rFonts w:cstheme="minorHAnsi"/>
                <w:sz w:val="20"/>
                <w:szCs w:val="20"/>
                <w:lang w:val="en-GB"/>
              </w:rPr>
              <w:t>Professionalisation planning</w:t>
            </w:r>
          </w:p>
        </w:tc>
        <w:tc>
          <w:tcPr>
            <w:tcW w:w="675" w:type="pct"/>
            <w:tcBorders>
              <w:top w:val="single" w:sz="4" w:space="0" w:color="auto"/>
              <w:left w:val="single" w:sz="4" w:space="0" w:color="auto"/>
              <w:right w:val="single" w:sz="4" w:space="0" w:color="auto"/>
            </w:tcBorders>
            <w:shd w:val="clear" w:color="auto" w:fill="auto"/>
          </w:tcPr>
          <w:p w14:paraId="0B549160" w14:textId="77777777" w:rsidR="00DE04AC" w:rsidRPr="00115061" w:rsidRDefault="00DE04AC" w:rsidP="004A3EE9">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4659D02A" w14:textId="77777777" w:rsidR="00DE04AC" w:rsidRPr="00115061" w:rsidRDefault="00DE04AC"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7E93AF40" w14:textId="77777777" w:rsidR="00DE04AC" w:rsidRPr="00115061" w:rsidRDefault="00DE04AC"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02B71BD8" w14:textId="77777777" w:rsidR="00DE04AC" w:rsidRPr="00ED6D54" w:rsidRDefault="00DE04AC" w:rsidP="004A3EE9">
            <w:pPr>
              <w:jc w:val="center"/>
              <w:rPr>
                <w:rFonts w:cstheme="minorHAnsi"/>
                <w:color w:val="auto"/>
                <w:sz w:val="20"/>
                <w:szCs w:val="20"/>
                <w:lang w:val="en-GB"/>
              </w:rPr>
            </w:pPr>
          </w:p>
        </w:tc>
      </w:tr>
      <w:tr w:rsidR="00DE04AC" w:rsidRPr="00DE04AC" w14:paraId="542CF3DE" w14:textId="77777777" w:rsidTr="00C22BEF">
        <w:trPr>
          <w:trHeight w:val="236"/>
        </w:trPr>
        <w:tc>
          <w:tcPr>
            <w:tcW w:w="1079" w:type="pct"/>
            <w:vMerge/>
            <w:tcBorders>
              <w:left w:val="single" w:sz="4" w:space="0" w:color="auto"/>
              <w:right w:val="single" w:sz="4" w:space="0" w:color="auto"/>
            </w:tcBorders>
            <w:shd w:val="clear" w:color="auto" w:fill="auto"/>
          </w:tcPr>
          <w:p w14:paraId="36858C5C" w14:textId="77777777" w:rsidR="00DE04AC" w:rsidRDefault="00DE04AC" w:rsidP="004A3EE9">
            <w:pPr>
              <w:jc w:val="left"/>
              <w:rPr>
                <w:rFonts w:cstheme="minorHAnsi"/>
                <w:b/>
                <w:sz w:val="20"/>
                <w:szCs w:val="20"/>
                <w:lang w:val="en-GB"/>
              </w:rPr>
            </w:pPr>
          </w:p>
        </w:tc>
        <w:tc>
          <w:tcPr>
            <w:tcW w:w="1652" w:type="pct"/>
            <w:tcBorders>
              <w:top w:val="single" w:sz="4" w:space="0" w:color="auto"/>
              <w:left w:val="single" w:sz="4" w:space="0" w:color="auto"/>
              <w:right w:val="single" w:sz="4" w:space="0" w:color="auto"/>
            </w:tcBorders>
            <w:shd w:val="clear" w:color="auto" w:fill="auto"/>
          </w:tcPr>
          <w:p w14:paraId="3C668901" w14:textId="792179AD" w:rsidR="00DE04AC" w:rsidRPr="00DE04AC" w:rsidRDefault="00DE04AC" w:rsidP="004A3EE9">
            <w:pPr>
              <w:jc w:val="left"/>
              <w:rPr>
                <w:rFonts w:cstheme="minorHAnsi"/>
                <w:sz w:val="20"/>
                <w:szCs w:val="20"/>
                <w:lang w:val="en-US"/>
              </w:rPr>
            </w:pPr>
            <w:r w:rsidRPr="00DE04AC">
              <w:rPr>
                <w:rFonts w:cstheme="minorHAnsi"/>
                <w:sz w:val="20"/>
                <w:szCs w:val="20"/>
                <w:lang w:val="en-US"/>
              </w:rPr>
              <w:t>4(b) – Public procurement information systems include data</w:t>
            </w:r>
            <w:r>
              <w:rPr>
                <w:rFonts w:cstheme="minorHAnsi"/>
                <w:sz w:val="20"/>
                <w:szCs w:val="20"/>
                <w:lang w:val="en-US"/>
              </w:rPr>
              <w:t xml:space="preserve"> suitable for the efficient support of professionalisation</w:t>
            </w:r>
          </w:p>
        </w:tc>
        <w:tc>
          <w:tcPr>
            <w:tcW w:w="675" w:type="pct"/>
            <w:tcBorders>
              <w:top w:val="single" w:sz="4" w:space="0" w:color="auto"/>
              <w:left w:val="single" w:sz="4" w:space="0" w:color="auto"/>
              <w:right w:val="single" w:sz="4" w:space="0" w:color="auto"/>
            </w:tcBorders>
            <w:shd w:val="clear" w:color="auto" w:fill="auto"/>
          </w:tcPr>
          <w:p w14:paraId="44A2AE33" w14:textId="77777777" w:rsidR="00DE04AC" w:rsidRPr="00DE04AC" w:rsidRDefault="00DE04AC" w:rsidP="004A3EE9">
            <w:pPr>
              <w:jc w:val="center"/>
              <w:rPr>
                <w:rFonts w:cstheme="minorHAnsi"/>
                <w:sz w:val="20"/>
                <w:szCs w:val="20"/>
                <w:lang w:val="en-US"/>
              </w:rPr>
            </w:pPr>
          </w:p>
        </w:tc>
        <w:tc>
          <w:tcPr>
            <w:tcW w:w="588" w:type="pct"/>
            <w:tcBorders>
              <w:top w:val="single" w:sz="4" w:space="0" w:color="auto"/>
              <w:left w:val="single" w:sz="4" w:space="0" w:color="auto"/>
              <w:right w:val="single" w:sz="4" w:space="0" w:color="auto"/>
            </w:tcBorders>
            <w:shd w:val="clear" w:color="auto" w:fill="auto"/>
          </w:tcPr>
          <w:p w14:paraId="3001B544" w14:textId="77777777" w:rsidR="00DE04AC" w:rsidRPr="00DE04AC" w:rsidRDefault="00DE04AC" w:rsidP="004A3EE9">
            <w:pPr>
              <w:jc w:val="center"/>
              <w:rPr>
                <w:rFonts w:cstheme="minorHAnsi"/>
                <w:sz w:val="20"/>
                <w:szCs w:val="20"/>
                <w:lang w:val="en-US"/>
              </w:rPr>
            </w:pPr>
          </w:p>
        </w:tc>
        <w:tc>
          <w:tcPr>
            <w:tcW w:w="663" w:type="pct"/>
            <w:tcBorders>
              <w:top w:val="single" w:sz="4" w:space="0" w:color="auto"/>
              <w:left w:val="single" w:sz="4" w:space="0" w:color="auto"/>
              <w:right w:val="single" w:sz="4" w:space="0" w:color="auto"/>
            </w:tcBorders>
            <w:shd w:val="clear" w:color="auto" w:fill="auto"/>
          </w:tcPr>
          <w:p w14:paraId="4C93CA45" w14:textId="77777777" w:rsidR="00DE04AC" w:rsidRPr="00DE04AC" w:rsidRDefault="00DE04AC" w:rsidP="004A3EE9">
            <w:pPr>
              <w:jc w:val="center"/>
              <w:rPr>
                <w:rFonts w:cstheme="minorHAnsi"/>
                <w:sz w:val="20"/>
                <w:szCs w:val="20"/>
                <w:lang w:val="en-US"/>
              </w:rPr>
            </w:pPr>
          </w:p>
        </w:tc>
        <w:tc>
          <w:tcPr>
            <w:tcW w:w="343" w:type="pct"/>
            <w:tcBorders>
              <w:top w:val="single" w:sz="4" w:space="0" w:color="auto"/>
              <w:left w:val="single" w:sz="4" w:space="0" w:color="auto"/>
              <w:right w:val="single" w:sz="4" w:space="0" w:color="auto"/>
            </w:tcBorders>
            <w:shd w:val="clear" w:color="auto" w:fill="auto"/>
          </w:tcPr>
          <w:p w14:paraId="5CC3875D" w14:textId="77777777" w:rsidR="00DE04AC" w:rsidRPr="00DE04AC" w:rsidRDefault="00DE04AC" w:rsidP="004A3EE9">
            <w:pPr>
              <w:jc w:val="center"/>
              <w:rPr>
                <w:rFonts w:cstheme="minorHAnsi"/>
                <w:color w:val="auto"/>
                <w:sz w:val="20"/>
                <w:szCs w:val="20"/>
                <w:lang w:val="en-US"/>
              </w:rPr>
            </w:pPr>
          </w:p>
        </w:tc>
      </w:tr>
      <w:tr w:rsidR="00DE04AC" w:rsidRPr="00DE04AC" w14:paraId="00583213" w14:textId="77777777" w:rsidTr="00C22BEF">
        <w:trPr>
          <w:trHeight w:val="236"/>
        </w:trPr>
        <w:tc>
          <w:tcPr>
            <w:tcW w:w="1079" w:type="pct"/>
            <w:vMerge/>
            <w:tcBorders>
              <w:left w:val="single" w:sz="4" w:space="0" w:color="auto"/>
              <w:right w:val="single" w:sz="4" w:space="0" w:color="auto"/>
            </w:tcBorders>
            <w:shd w:val="clear" w:color="auto" w:fill="auto"/>
          </w:tcPr>
          <w:p w14:paraId="70AA6CCA" w14:textId="77777777" w:rsidR="00DE04AC" w:rsidRPr="00DE04AC" w:rsidRDefault="00DE04AC" w:rsidP="004A3EE9">
            <w:pPr>
              <w:jc w:val="left"/>
              <w:rPr>
                <w:rFonts w:cstheme="minorHAnsi"/>
                <w:b/>
                <w:sz w:val="20"/>
                <w:szCs w:val="20"/>
                <w:lang w:val="en-US"/>
              </w:rPr>
            </w:pPr>
          </w:p>
        </w:tc>
        <w:tc>
          <w:tcPr>
            <w:tcW w:w="1652" w:type="pct"/>
            <w:tcBorders>
              <w:top w:val="single" w:sz="4" w:space="0" w:color="auto"/>
              <w:left w:val="single" w:sz="4" w:space="0" w:color="auto"/>
              <w:right w:val="single" w:sz="4" w:space="0" w:color="auto"/>
            </w:tcBorders>
            <w:shd w:val="clear" w:color="auto" w:fill="auto"/>
          </w:tcPr>
          <w:p w14:paraId="551C804F" w14:textId="21B19F1E" w:rsidR="00DE04AC" w:rsidRPr="00DE04AC" w:rsidRDefault="00DE04AC" w:rsidP="004A3EE9">
            <w:pPr>
              <w:jc w:val="left"/>
              <w:rPr>
                <w:rFonts w:cstheme="minorHAnsi"/>
                <w:sz w:val="20"/>
                <w:szCs w:val="20"/>
                <w:lang w:val="en-US"/>
              </w:rPr>
            </w:pPr>
            <w:r>
              <w:rPr>
                <w:rFonts w:cstheme="minorHAnsi"/>
                <w:sz w:val="20"/>
                <w:szCs w:val="20"/>
                <w:lang w:val="en-US"/>
              </w:rPr>
              <w:t>4(c) – Monitoring and evaluation of professionalization policy</w:t>
            </w:r>
          </w:p>
        </w:tc>
        <w:tc>
          <w:tcPr>
            <w:tcW w:w="675" w:type="pct"/>
            <w:tcBorders>
              <w:top w:val="single" w:sz="4" w:space="0" w:color="auto"/>
              <w:left w:val="single" w:sz="4" w:space="0" w:color="auto"/>
              <w:right w:val="single" w:sz="4" w:space="0" w:color="auto"/>
            </w:tcBorders>
            <w:shd w:val="clear" w:color="auto" w:fill="auto"/>
          </w:tcPr>
          <w:p w14:paraId="41734B83" w14:textId="77777777" w:rsidR="00DE04AC" w:rsidRPr="00DE04AC" w:rsidRDefault="00DE04AC" w:rsidP="004A3EE9">
            <w:pPr>
              <w:jc w:val="center"/>
              <w:rPr>
                <w:rFonts w:cstheme="minorHAnsi"/>
                <w:sz w:val="20"/>
                <w:szCs w:val="20"/>
                <w:lang w:val="en-US"/>
              </w:rPr>
            </w:pPr>
          </w:p>
        </w:tc>
        <w:tc>
          <w:tcPr>
            <w:tcW w:w="588" w:type="pct"/>
            <w:tcBorders>
              <w:top w:val="single" w:sz="4" w:space="0" w:color="auto"/>
              <w:left w:val="single" w:sz="4" w:space="0" w:color="auto"/>
              <w:right w:val="single" w:sz="4" w:space="0" w:color="auto"/>
            </w:tcBorders>
            <w:shd w:val="clear" w:color="auto" w:fill="auto"/>
          </w:tcPr>
          <w:p w14:paraId="7F24C13E" w14:textId="77777777" w:rsidR="00DE04AC" w:rsidRPr="00DE04AC" w:rsidRDefault="00DE04AC" w:rsidP="004A3EE9">
            <w:pPr>
              <w:jc w:val="center"/>
              <w:rPr>
                <w:rFonts w:cstheme="minorHAnsi"/>
                <w:sz w:val="20"/>
                <w:szCs w:val="20"/>
                <w:lang w:val="en-US"/>
              </w:rPr>
            </w:pPr>
          </w:p>
        </w:tc>
        <w:tc>
          <w:tcPr>
            <w:tcW w:w="663" w:type="pct"/>
            <w:tcBorders>
              <w:top w:val="single" w:sz="4" w:space="0" w:color="auto"/>
              <w:left w:val="single" w:sz="4" w:space="0" w:color="auto"/>
              <w:right w:val="single" w:sz="4" w:space="0" w:color="auto"/>
            </w:tcBorders>
            <w:shd w:val="clear" w:color="auto" w:fill="auto"/>
          </w:tcPr>
          <w:p w14:paraId="401673DD" w14:textId="77777777" w:rsidR="00DE04AC" w:rsidRPr="00DE04AC" w:rsidRDefault="00DE04AC" w:rsidP="004A3EE9">
            <w:pPr>
              <w:jc w:val="center"/>
              <w:rPr>
                <w:rFonts w:cstheme="minorHAnsi"/>
                <w:sz w:val="20"/>
                <w:szCs w:val="20"/>
                <w:lang w:val="en-US"/>
              </w:rPr>
            </w:pPr>
          </w:p>
        </w:tc>
        <w:tc>
          <w:tcPr>
            <w:tcW w:w="343" w:type="pct"/>
            <w:tcBorders>
              <w:top w:val="single" w:sz="4" w:space="0" w:color="auto"/>
              <w:left w:val="single" w:sz="4" w:space="0" w:color="auto"/>
              <w:right w:val="single" w:sz="4" w:space="0" w:color="auto"/>
            </w:tcBorders>
            <w:shd w:val="clear" w:color="auto" w:fill="auto"/>
          </w:tcPr>
          <w:p w14:paraId="3867C75E" w14:textId="77777777" w:rsidR="00DE04AC" w:rsidRPr="00DE04AC" w:rsidRDefault="00DE04AC" w:rsidP="004A3EE9">
            <w:pPr>
              <w:jc w:val="center"/>
              <w:rPr>
                <w:rFonts w:cstheme="minorHAnsi"/>
                <w:color w:val="auto"/>
                <w:sz w:val="20"/>
                <w:szCs w:val="20"/>
                <w:lang w:val="en-US"/>
              </w:rPr>
            </w:pPr>
          </w:p>
        </w:tc>
      </w:tr>
      <w:tr w:rsidR="00F622A4" w:rsidRPr="00115061" w14:paraId="43DEBE19" w14:textId="77777777" w:rsidTr="00C22BEF">
        <w:trPr>
          <w:trHeight w:val="236"/>
        </w:trPr>
        <w:tc>
          <w:tcPr>
            <w:tcW w:w="1079" w:type="pct"/>
            <w:tcBorders>
              <w:top w:val="single" w:sz="4" w:space="0" w:color="auto"/>
              <w:left w:val="single" w:sz="4" w:space="0" w:color="auto"/>
              <w:right w:val="single" w:sz="4" w:space="0" w:color="auto"/>
            </w:tcBorders>
            <w:shd w:val="clear" w:color="auto" w:fill="auto"/>
          </w:tcPr>
          <w:p w14:paraId="0F0DBE79" w14:textId="1DFF3DBF" w:rsidR="00F622A4" w:rsidRPr="00115061" w:rsidRDefault="00E12126" w:rsidP="004A3EE9">
            <w:pPr>
              <w:jc w:val="left"/>
              <w:rPr>
                <w:rFonts w:cstheme="minorHAnsi"/>
                <w:b/>
                <w:sz w:val="20"/>
                <w:szCs w:val="20"/>
                <w:lang w:val="en-GB"/>
              </w:rPr>
            </w:pPr>
            <w:r>
              <w:rPr>
                <w:rFonts w:cstheme="minorHAnsi"/>
                <w:b/>
                <w:sz w:val="20"/>
                <w:szCs w:val="20"/>
                <w:lang w:val="en-GB"/>
              </w:rPr>
              <w:lastRenderedPageBreak/>
              <w:t>5</w:t>
            </w:r>
            <w:r w:rsidR="00F622A4" w:rsidRPr="00115061">
              <w:rPr>
                <w:rFonts w:cstheme="minorHAnsi"/>
                <w:b/>
                <w:sz w:val="20"/>
                <w:szCs w:val="20"/>
                <w:lang w:val="en-GB"/>
              </w:rPr>
              <w:t xml:space="preserve">. </w:t>
            </w:r>
            <w:r w:rsidR="007440E3">
              <w:rPr>
                <w:rFonts w:cstheme="minorHAnsi"/>
                <w:b/>
                <w:sz w:val="20"/>
                <w:szCs w:val="20"/>
                <w:lang w:val="en-GB"/>
              </w:rPr>
              <w:t xml:space="preserve"> </w:t>
            </w:r>
            <w:r w:rsidR="00DE04AC">
              <w:rPr>
                <w:rFonts w:cstheme="minorHAnsi"/>
                <w:b/>
                <w:sz w:val="20"/>
                <w:szCs w:val="20"/>
                <w:lang w:val="en-GB"/>
              </w:rPr>
              <w:t>Professionalisation is based on sound principles and standards</w:t>
            </w:r>
          </w:p>
        </w:tc>
        <w:tc>
          <w:tcPr>
            <w:tcW w:w="1652" w:type="pct"/>
            <w:tcBorders>
              <w:top w:val="single" w:sz="4" w:space="0" w:color="auto"/>
              <w:left w:val="single" w:sz="4" w:space="0" w:color="auto"/>
              <w:right w:val="single" w:sz="4" w:space="0" w:color="auto"/>
            </w:tcBorders>
            <w:shd w:val="clear" w:color="auto" w:fill="auto"/>
          </w:tcPr>
          <w:p w14:paraId="1D50EE64" w14:textId="663D1F9D" w:rsidR="00F622A4" w:rsidRPr="00115061" w:rsidRDefault="00BB5403" w:rsidP="004A3EE9">
            <w:pPr>
              <w:jc w:val="left"/>
              <w:rPr>
                <w:rFonts w:cstheme="minorHAnsi"/>
                <w:sz w:val="20"/>
                <w:szCs w:val="20"/>
                <w:lang w:val="en-GB"/>
              </w:rPr>
            </w:pPr>
            <w:r>
              <w:rPr>
                <w:rFonts w:cstheme="minorHAnsi"/>
                <w:sz w:val="20"/>
                <w:szCs w:val="20"/>
                <w:lang w:val="en-GB"/>
              </w:rPr>
              <w:t>5</w:t>
            </w:r>
            <w:r w:rsidR="00F622A4" w:rsidRPr="00115061">
              <w:rPr>
                <w:rFonts w:cstheme="minorHAnsi"/>
                <w:sz w:val="20"/>
                <w:szCs w:val="20"/>
                <w:lang w:val="en-GB"/>
              </w:rPr>
              <w:t xml:space="preserve">(a) – </w:t>
            </w:r>
            <w:r w:rsidR="00DE04AC">
              <w:rPr>
                <w:rFonts w:cstheme="minorHAnsi"/>
                <w:sz w:val="20"/>
                <w:szCs w:val="20"/>
                <w:lang w:val="en-GB"/>
              </w:rPr>
              <w:t>Professionalisation policy is based on sound principles and standards</w:t>
            </w:r>
          </w:p>
        </w:tc>
        <w:tc>
          <w:tcPr>
            <w:tcW w:w="675" w:type="pct"/>
            <w:tcBorders>
              <w:top w:val="single" w:sz="4" w:space="0" w:color="auto"/>
              <w:left w:val="single" w:sz="4" w:space="0" w:color="auto"/>
              <w:right w:val="single" w:sz="4" w:space="0" w:color="auto"/>
            </w:tcBorders>
            <w:shd w:val="clear" w:color="auto" w:fill="auto"/>
          </w:tcPr>
          <w:p w14:paraId="44D64247" w14:textId="77777777" w:rsidR="00F622A4" w:rsidRPr="00115061" w:rsidRDefault="00F622A4" w:rsidP="004A3EE9">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6AB9705D" w14:textId="77777777" w:rsidR="00F622A4" w:rsidRPr="00115061" w:rsidRDefault="00F622A4"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7188011" w14:textId="77777777" w:rsidR="00F622A4" w:rsidRPr="00115061" w:rsidRDefault="00F622A4"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31F5F5AD" w14:textId="77777777" w:rsidR="00F622A4" w:rsidRPr="00ED6D54" w:rsidRDefault="00F622A4" w:rsidP="004A3EE9">
            <w:pPr>
              <w:jc w:val="center"/>
              <w:rPr>
                <w:rFonts w:cstheme="minorHAnsi"/>
                <w:color w:val="auto"/>
                <w:sz w:val="20"/>
                <w:szCs w:val="20"/>
                <w:lang w:val="en-GB"/>
              </w:rPr>
            </w:pPr>
          </w:p>
        </w:tc>
      </w:tr>
    </w:tbl>
    <w:p w14:paraId="3A271203" w14:textId="77777777" w:rsidR="00C22BEF" w:rsidRDefault="00C22BEF"/>
    <w:tbl>
      <w:tblPr>
        <w:tblStyle w:val="TableGrid1"/>
        <w:tblW w:w="5000" w:type="pct"/>
        <w:tblLook w:val="04A0" w:firstRow="1" w:lastRow="0" w:firstColumn="1" w:lastColumn="0" w:noHBand="0" w:noVBand="1"/>
      </w:tblPr>
      <w:tblGrid>
        <w:gridCol w:w="2019"/>
        <w:gridCol w:w="2995"/>
        <w:gridCol w:w="94"/>
        <w:gridCol w:w="1170"/>
        <w:gridCol w:w="91"/>
        <w:gridCol w:w="1100"/>
        <w:gridCol w:w="1240"/>
        <w:gridCol w:w="641"/>
      </w:tblGrid>
      <w:tr w:rsidR="00C22BEF" w:rsidRPr="00115061" w14:paraId="659A2F42" w14:textId="77777777" w:rsidTr="00C22BEF">
        <w:trPr>
          <w:trHeight w:val="203"/>
          <w:tblHeader/>
        </w:trPr>
        <w:tc>
          <w:tcPr>
            <w:tcW w:w="2682" w:type="pct"/>
            <w:gridSpan w:val="2"/>
            <w:tcBorders>
              <w:top w:val="single" w:sz="4" w:space="0" w:color="auto"/>
              <w:left w:val="single" w:sz="4" w:space="0" w:color="auto"/>
              <w:bottom w:val="single" w:sz="4" w:space="0" w:color="auto"/>
              <w:right w:val="single" w:sz="4" w:space="0" w:color="auto"/>
            </w:tcBorders>
            <w:shd w:val="clear" w:color="auto" w:fill="auto"/>
          </w:tcPr>
          <w:p w14:paraId="6065557A" w14:textId="77777777" w:rsidR="00C22BEF" w:rsidRPr="00115061" w:rsidRDefault="00C22BEF" w:rsidP="00A10348">
            <w:pPr>
              <w:jc w:val="center"/>
              <w:rPr>
                <w:rFonts w:cstheme="minorHAnsi"/>
                <w:b/>
                <w:lang w:val="en-GB"/>
              </w:rPr>
            </w:pPr>
            <w:r w:rsidRPr="00115061">
              <w:rPr>
                <w:rFonts w:cstheme="minorHAnsi"/>
                <w:lang w:val="en-GB"/>
              </w:rPr>
              <w:br w:type="page"/>
            </w:r>
            <w:r w:rsidRPr="00115061">
              <w:rPr>
                <w:rFonts w:cstheme="minorHAnsi"/>
                <w:b/>
                <w:lang w:val="en-GB"/>
              </w:rPr>
              <w:t xml:space="preserve">PILLAR </w:t>
            </w:r>
            <w:r>
              <w:rPr>
                <w:rFonts w:cstheme="minorHAnsi"/>
                <w:b/>
                <w:lang w:val="en-GB"/>
              </w:rPr>
              <w:t>III</w:t>
            </w:r>
          </w:p>
        </w:tc>
        <w:tc>
          <w:tcPr>
            <w:tcW w:w="675" w:type="pct"/>
            <w:gridSpan w:val="2"/>
            <w:tcBorders>
              <w:top w:val="single" w:sz="4" w:space="0" w:color="auto"/>
              <w:left w:val="single" w:sz="4" w:space="0" w:color="auto"/>
              <w:bottom w:val="single" w:sz="4" w:space="0" w:color="auto"/>
              <w:right w:val="single" w:sz="4" w:space="0" w:color="auto"/>
            </w:tcBorders>
            <w:shd w:val="clear" w:color="auto" w:fill="92D050"/>
          </w:tcPr>
          <w:p w14:paraId="2A8D0BC7" w14:textId="77777777" w:rsidR="00C22BEF" w:rsidRPr="00703B43" w:rsidRDefault="00C22BEF" w:rsidP="00A10348">
            <w:pPr>
              <w:jc w:val="center"/>
              <w:rPr>
                <w:rFonts w:cstheme="minorHAnsi"/>
                <w:b/>
                <w:bCs/>
                <w:sz w:val="22"/>
                <w:szCs w:val="22"/>
                <w:lang w:val="en-GB"/>
              </w:rPr>
            </w:pPr>
            <w:r w:rsidRPr="00703B43">
              <w:rPr>
                <w:rFonts w:cstheme="minorHAnsi"/>
                <w:b/>
                <w:bCs/>
                <w:sz w:val="22"/>
                <w:szCs w:val="22"/>
                <w:lang w:val="en-GB"/>
              </w:rPr>
              <w:t>Full compliance</w:t>
            </w:r>
          </w:p>
        </w:tc>
        <w:tc>
          <w:tcPr>
            <w:tcW w:w="637" w:type="pct"/>
            <w:gridSpan w:val="2"/>
            <w:tcBorders>
              <w:top w:val="single" w:sz="4" w:space="0" w:color="auto"/>
              <w:left w:val="single" w:sz="4" w:space="0" w:color="auto"/>
              <w:bottom w:val="single" w:sz="4" w:space="0" w:color="auto"/>
              <w:right w:val="single" w:sz="4" w:space="0" w:color="auto"/>
            </w:tcBorders>
            <w:shd w:val="clear" w:color="auto" w:fill="FFFF00"/>
          </w:tcPr>
          <w:p w14:paraId="00099EB3" w14:textId="77777777" w:rsidR="00C22BEF" w:rsidRPr="00703B43" w:rsidRDefault="00C22BEF" w:rsidP="00A10348">
            <w:pPr>
              <w:jc w:val="center"/>
              <w:rPr>
                <w:rFonts w:cstheme="minorHAnsi"/>
                <w:b/>
                <w:bCs/>
                <w:sz w:val="22"/>
                <w:szCs w:val="22"/>
                <w:lang w:val="en-GB"/>
              </w:rPr>
            </w:pPr>
            <w:r w:rsidRPr="00703B43">
              <w:rPr>
                <w:rFonts w:cstheme="minorHAnsi"/>
                <w:b/>
                <w:bCs/>
                <w:sz w:val="22"/>
                <w:szCs w:val="22"/>
                <w:lang w:val="en-GB"/>
              </w:rPr>
              <w:t>Gaps identified</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0C19DE7F" w14:textId="77777777" w:rsidR="00C22BEF" w:rsidRPr="00703B43" w:rsidRDefault="00C22BEF" w:rsidP="00A10348">
            <w:pPr>
              <w:jc w:val="center"/>
              <w:rPr>
                <w:rFonts w:cstheme="minorHAnsi"/>
                <w:b/>
                <w:bCs/>
                <w:sz w:val="22"/>
                <w:szCs w:val="22"/>
                <w:lang w:val="en-GB"/>
              </w:rPr>
            </w:pPr>
            <w:r w:rsidRPr="00703B43">
              <w:rPr>
                <w:rFonts w:cstheme="minorHAnsi"/>
                <w:b/>
                <w:bCs/>
                <w:sz w:val="22"/>
                <w:szCs w:val="22"/>
                <w:lang w:val="en-GB"/>
              </w:rPr>
              <w:t>Substantial gaps identified</w:t>
            </w:r>
          </w:p>
        </w:tc>
        <w:tc>
          <w:tcPr>
            <w:tcW w:w="343" w:type="pct"/>
            <w:tcBorders>
              <w:top w:val="single" w:sz="4" w:space="0" w:color="auto"/>
              <w:left w:val="single" w:sz="4" w:space="0" w:color="auto"/>
              <w:bottom w:val="single" w:sz="4" w:space="0" w:color="auto"/>
              <w:right w:val="single" w:sz="4" w:space="0" w:color="auto"/>
            </w:tcBorders>
          </w:tcPr>
          <w:p w14:paraId="57795AB8" w14:textId="77777777" w:rsidR="00C22BEF" w:rsidRPr="00ED6D54" w:rsidRDefault="00C22BEF" w:rsidP="00A10348">
            <w:pPr>
              <w:jc w:val="center"/>
              <w:rPr>
                <w:rFonts w:cstheme="minorHAnsi"/>
                <w:b/>
                <w:bCs/>
                <w:color w:val="auto"/>
                <w:sz w:val="22"/>
                <w:szCs w:val="22"/>
                <w:lang w:val="en-GB"/>
              </w:rPr>
            </w:pPr>
            <w:r w:rsidRPr="00ED6D54">
              <w:rPr>
                <w:rFonts w:cstheme="minorHAnsi"/>
                <w:b/>
                <w:bCs/>
                <w:color w:val="auto"/>
                <w:sz w:val="22"/>
                <w:szCs w:val="22"/>
                <w:lang w:val="en-GB"/>
              </w:rPr>
              <w:t>Red flags</w:t>
            </w:r>
          </w:p>
        </w:tc>
      </w:tr>
      <w:tr w:rsidR="00FF1F77" w:rsidRPr="00115061" w14:paraId="02879FAA" w14:textId="77777777" w:rsidTr="00C22BEF">
        <w:trPr>
          <w:trHeight w:val="236"/>
        </w:trPr>
        <w:tc>
          <w:tcPr>
            <w:tcW w:w="1080" w:type="pct"/>
            <w:tcBorders>
              <w:top w:val="single" w:sz="4" w:space="0" w:color="auto"/>
              <w:left w:val="single" w:sz="4" w:space="0" w:color="auto"/>
              <w:right w:val="single" w:sz="4" w:space="0" w:color="auto"/>
            </w:tcBorders>
            <w:shd w:val="clear" w:color="auto" w:fill="auto"/>
          </w:tcPr>
          <w:p w14:paraId="74151297" w14:textId="1C676E51" w:rsidR="00FF1F77" w:rsidRDefault="00FF1F77" w:rsidP="00BB5403">
            <w:pPr>
              <w:jc w:val="left"/>
              <w:rPr>
                <w:rFonts w:cstheme="minorHAnsi"/>
                <w:b/>
                <w:sz w:val="20"/>
                <w:szCs w:val="20"/>
                <w:lang w:val="en-GB"/>
              </w:rPr>
            </w:pPr>
            <w:r>
              <w:rPr>
                <w:rFonts w:cstheme="minorHAnsi"/>
                <w:b/>
                <w:sz w:val="20"/>
                <w:szCs w:val="20"/>
                <w:lang w:val="en-GB"/>
              </w:rPr>
              <w:t>6</w:t>
            </w:r>
            <w:r w:rsidRPr="00115061">
              <w:rPr>
                <w:rFonts w:cstheme="minorHAnsi"/>
                <w:b/>
                <w:sz w:val="20"/>
                <w:szCs w:val="20"/>
                <w:lang w:val="en-GB"/>
              </w:rPr>
              <w:t xml:space="preserve">. </w:t>
            </w:r>
            <w:r w:rsidR="00DE04AC">
              <w:rPr>
                <w:rFonts w:cstheme="minorHAnsi"/>
                <w:b/>
                <w:sz w:val="20"/>
                <w:szCs w:val="20"/>
                <w:lang w:val="en-GB"/>
              </w:rPr>
              <w:t xml:space="preserve">The public procurement system has adequate financial mechanisms to finance the cost of education, training and certification of public procurement professionals </w:t>
            </w:r>
          </w:p>
        </w:tc>
        <w:tc>
          <w:tcPr>
            <w:tcW w:w="1651" w:type="pct"/>
            <w:gridSpan w:val="2"/>
            <w:tcBorders>
              <w:top w:val="single" w:sz="4" w:space="0" w:color="auto"/>
              <w:left w:val="single" w:sz="4" w:space="0" w:color="auto"/>
              <w:right w:val="single" w:sz="4" w:space="0" w:color="auto"/>
            </w:tcBorders>
            <w:shd w:val="clear" w:color="auto" w:fill="auto"/>
          </w:tcPr>
          <w:p w14:paraId="67771301" w14:textId="2B59CB59" w:rsidR="00FF1F77" w:rsidRDefault="00FF1F77" w:rsidP="00BB5403">
            <w:pPr>
              <w:jc w:val="left"/>
              <w:rPr>
                <w:rFonts w:cstheme="minorHAnsi"/>
                <w:sz w:val="20"/>
                <w:szCs w:val="20"/>
                <w:lang w:val="en-GB"/>
              </w:rPr>
            </w:pPr>
            <w:r>
              <w:rPr>
                <w:rFonts w:cstheme="minorHAnsi"/>
                <w:sz w:val="20"/>
                <w:szCs w:val="20"/>
                <w:lang w:val="en-GB"/>
              </w:rPr>
              <w:t>6</w:t>
            </w:r>
            <w:r w:rsidRPr="00115061">
              <w:rPr>
                <w:rFonts w:cstheme="minorHAnsi"/>
                <w:sz w:val="20"/>
                <w:szCs w:val="20"/>
                <w:lang w:val="en-GB"/>
              </w:rPr>
              <w:t xml:space="preserve">(a) – </w:t>
            </w:r>
            <w:r w:rsidR="00DE04AC">
              <w:rPr>
                <w:rFonts w:cstheme="minorHAnsi"/>
                <w:sz w:val="20"/>
                <w:szCs w:val="20"/>
                <w:lang w:val="en-GB"/>
              </w:rPr>
              <w:t>Existence of adequate budgetary resources</w:t>
            </w:r>
          </w:p>
        </w:tc>
        <w:tc>
          <w:tcPr>
            <w:tcW w:w="675" w:type="pct"/>
            <w:gridSpan w:val="2"/>
            <w:tcBorders>
              <w:top w:val="single" w:sz="4" w:space="0" w:color="auto"/>
              <w:left w:val="single" w:sz="4" w:space="0" w:color="auto"/>
              <w:right w:val="single" w:sz="4" w:space="0" w:color="auto"/>
            </w:tcBorders>
            <w:shd w:val="clear" w:color="auto" w:fill="auto"/>
          </w:tcPr>
          <w:p w14:paraId="5E20F9C8" w14:textId="77777777" w:rsidR="00FF1F77" w:rsidRPr="00115061" w:rsidRDefault="00FF1F77"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321B677E" w14:textId="77777777" w:rsidR="00FF1F77" w:rsidRPr="00115061" w:rsidRDefault="00FF1F77"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05E0D96" w14:textId="77777777" w:rsidR="00FF1F77" w:rsidRPr="00115061" w:rsidRDefault="00FF1F77"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133C11E8" w14:textId="77777777" w:rsidR="00FF1F77" w:rsidRPr="00ED6D54" w:rsidRDefault="00FF1F77" w:rsidP="00BB5403">
            <w:pPr>
              <w:jc w:val="center"/>
              <w:rPr>
                <w:rFonts w:cstheme="minorHAnsi"/>
                <w:color w:val="auto"/>
                <w:sz w:val="20"/>
                <w:szCs w:val="20"/>
                <w:lang w:val="en-GB"/>
              </w:rPr>
            </w:pPr>
          </w:p>
        </w:tc>
      </w:tr>
      <w:tr w:rsidR="00BB5403" w:rsidRPr="00115061" w14:paraId="53CE5C1C" w14:textId="77777777" w:rsidTr="00C22BEF">
        <w:trPr>
          <w:trHeight w:val="236"/>
        </w:trPr>
        <w:tc>
          <w:tcPr>
            <w:tcW w:w="1080" w:type="pct"/>
            <w:vMerge w:val="restart"/>
            <w:tcBorders>
              <w:top w:val="single" w:sz="4" w:space="0" w:color="auto"/>
              <w:left w:val="single" w:sz="4" w:space="0" w:color="auto"/>
              <w:right w:val="single" w:sz="4" w:space="0" w:color="auto"/>
            </w:tcBorders>
            <w:shd w:val="clear" w:color="auto" w:fill="auto"/>
          </w:tcPr>
          <w:p w14:paraId="283772E4" w14:textId="703681B7" w:rsidR="00BB5403" w:rsidRDefault="00FF1F77" w:rsidP="00BB5403">
            <w:pPr>
              <w:jc w:val="left"/>
              <w:rPr>
                <w:rFonts w:cstheme="minorHAnsi"/>
                <w:b/>
                <w:sz w:val="20"/>
                <w:szCs w:val="20"/>
                <w:lang w:val="en-GB"/>
              </w:rPr>
            </w:pPr>
            <w:r>
              <w:rPr>
                <w:rFonts w:cstheme="minorHAnsi"/>
                <w:b/>
                <w:sz w:val="20"/>
                <w:szCs w:val="20"/>
                <w:lang w:val="en-GB"/>
              </w:rPr>
              <w:t xml:space="preserve">7. </w:t>
            </w:r>
            <w:r w:rsidR="00DE04AC">
              <w:rPr>
                <w:rFonts w:cstheme="minorHAnsi"/>
                <w:b/>
                <w:sz w:val="20"/>
                <w:szCs w:val="20"/>
                <w:lang w:val="en-GB"/>
              </w:rPr>
              <w:t>Public procurement is recognised as a professional career line in the country’s public service</w:t>
            </w:r>
          </w:p>
        </w:tc>
        <w:tc>
          <w:tcPr>
            <w:tcW w:w="1651" w:type="pct"/>
            <w:gridSpan w:val="2"/>
            <w:tcBorders>
              <w:top w:val="single" w:sz="4" w:space="0" w:color="auto"/>
              <w:left w:val="single" w:sz="4" w:space="0" w:color="auto"/>
              <w:right w:val="single" w:sz="4" w:space="0" w:color="auto"/>
            </w:tcBorders>
            <w:shd w:val="clear" w:color="auto" w:fill="auto"/>
          </w:tcPr>
          <w:p w14:paraId="723F57BD" w14:textId="38CA3FD8" w:rsidR="00BB5403" w:rsidRDefault="00FF1F77" w:rsidP="00BB5403">
            <w:pPr>
              <w:jc w:val="left"/>
              <w:rPr>
                <w:rFonts w:cstheme="minorHAnsi"/>
                <w:sz w:val="20"/>
                <w:szCs w:val="20"/>
                <w:lang w:val="en-GB"/>
              </w:rPr>
            </w:pPr>
            <w:r>
              <w:rPr>
                <w:rFonts w:cstheme="minorHAnsi"/>
                <w:sz w:val="20"/>
                <w:szCs w:val="20"/>
                <w:lang w:val="en-GB"/>
              </w:rPr>
              <w:t>7</w:t>
            </w:r>
            <w:r w:rsidRPr="00115061">
              <w:rPr>
                <w:rFonts w:cstheme="minorHAnsi"/>
                <w:sz w:val="20"/>
                <w:szCs w:val="20"/>
                <w:lang w:val="en-GB"/>
              </w:rPr>
              <w:t xml:space="preserve">(a) – </w:t>
            </w:r>
            <w:r w:rsidR="00F71718">
              <w:rPr>
                <w:rFonts w:cstheme="minorHAnsi"/>
                <w:sz w:val="20"/>
                <w:szCs w:val="20"/>
                <w:lang w:val="en-GB"/>
              </w:rPr>
              <w:t>Existence of a public procurement competency framework</w:t>
            </w:r>
          </w:p>
        </w:tc>
        <w:tc>
          <w:tcPr>
            <w:tcW w:w="675" w:type="pct"/>
            <w:gridSpan w:val="2"/>
            <w:tcBorders>
              <w:top w:val="single" w:sz="4" w:space="0" w:color="auto"/>
              <w:left w:val="single" w:sz="4" w:space="0" w:color="auto"/>
              <w:right w:val="single" w:sz="4" w:space="0" w:color="auto"/>
            </w:tcBorders>
            <w:shd w:val="clear" w:color="auto" w:fill="auto"/>
          </w:tcPr>
          <w:p w14:paraId="0315CF5F" w14:textId="77777777" w:rsidR="00BB5403" w:rsidRPr="00115061" w:rsidRDefault="00BB5403"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76C11D97" w14:textId="77777777" w:rsidR="00BB5403" w:rsidRPr="00115061" w:rsidRDefault="00BB5403"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9991EE5" w14:textId="77777777" w:rsidR="00BB5403" w:rsidRPr="00115061" w:rsidRDefault="00BB5403"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32431D78" w14:textId="77777777" w:rsidR="00BB5403" w:rsidRPr="00ED6D54" w:rsidRDefault="00BB5403" w:rsidP="00BB5403">
            <w:pPr>
              <w:jc w:val="center"/>
              <w:rPr>
                <w:rFonts w:cstheme="minorHAnsi"/>
                <w:color w:val="auto"/>
                <w:sz w:val="20"/>
                <w:szCs w:val="20"/>
                <w:lang w:val="en-GB"/>
              </w:rPr>
            </w:pPr>
          </w:p>
        </w:tc>
      </w:tr>
      <w:tr w:rsidR="00F71718" w:rsidRPr="00115061" w14:paraId="6DC8BEEB" w14:textId="77777777" w:rsidTr="00C22BEF">
        <w:trPr>
          <w:trHeight w:val="236"/>
        </w:trPr>
        <w:tc>
          <w:tcPr>
            <w:tcW w:w="1080" w:type="pct"/>
            <w:vMerge/>
            <w:tcBorders>
              <w:top w:val="single" w:sz="4" w:space="0" w:color="auto"/>
              <w:left w:val="single" w:sz="4" w:space="0" w:color="auto"/>
              <w:right w:val="single" w:sz="4" w:space="0" w:color="auto"/>
            </w:tcBorders>
            <w:shd w:val="clear" w:color="auto" w:fill="auto"/>
          </w:tcPr>
          <w:p w14:paraId="49E84BF3" w14:textId="77777777" w:rsidR="00F71718" w:rsidRDefault="00F71718" w:rsidP="00BB5403">
            <w:pPr>
              <w:jc w:val="left"/>
              <w:rPr>
                <w:rFonts w:cstheme="minorHAnsi"/>
                <w:b/>
                <w:sz w:val="20"/>
                <w:szCs w:val="20"/>
                <w:lang w:val="en-GB"/>
              </w:rPr>
            </w:pPr>
          </w:p>
        </w:tc>
        <w:tc>
          <w:tcPr>
            <w:tcW w:w="1651" w:type="pct"/>
            <w:gridSpan w:val="2"/>
            <w:tcBorders>
              <w:top w:val="single" w:sz="4" w:space="0" w:color="auto"/>
              <w:left w:val="single" w:sz="4" w:space="0" w:color="auto"/>
              <w:right w:val="single" w:sz="4" w:space="0" w:color="auto"/>
            </w:tcBorders>
            <w:shd w:val="clear" w:color="auto" w:fill="auto"/>
          </w:tcPr>
          <w:p w14:paraId="6FB677F3" w14:textId="19483E4E" w:rsidR="00F71718" w:rsidRDefault="00F71718" w:rsidP="00BB5403">
            <w:pPr>
              <w:jc w:val="left"/>
              <w:rPr>
                <w:rFonts w:cstheme="minorHAnsi"/>
                <w:sz w:val="20"/>
                <w:szCs w:val="20"/>
                <w:lang w:val="en-GB"/>
              </w:rPr>
            </w:pPr>
            <w:r>
              <w:rPr>
                <w:rFonts w:cstheme="minorHAnsi"/>
                <w:sz w:val="20"/>
                <w:szCs w:val="20"/>
                <w:lang w:val="en-GB"/>
              </w:rPr>
              <w:t>7</w:t>
            </w:r>
            <w:r w:rsidRPr="00115061">
              <w:rPr>
                <w:rFonts w:cstheme="minorHAnsi"/>
                <w:sz w:val="20"/>
                <w:szCs w:val="20"/>
                <w:lang w:val="en-GB"/>
              </w:rPr>
              <w:t xml:space="preserve">(b) – </w:t>
            </w:r>
            <w:r>
              <w:rPr>
                <w:rFonts w:cstheme="minorHAnsi"/>
                <w:sz w:val="20"/>
                <w:szCs w:val="20"/>
                <w:lang w:val="en-GB"/>
              </w:rPr>
              <w:t>Existence of a career path of public procurement within the civil service</w:t>
            </w:r>
          </w:p>
        </w:tc>
        <w:tc>
          <w:tcPr>
            <w:tcW w:w="675" w:type="pct"/>
            <w:gridSpan w:val="2"/>
            <w:tcBorders>
              <w:top w:val="single" w:sz="4" w:space="0" w:color="auto"/>
              <w:left w:val="single" w:sz="4" w:space="0" w:color="auto"/>
              <w:right w:val="single" w:sz="4" w:space="0" w:color="auto"/>
            </w:tcBorders>
            <w:shd w:val="clear" w:color="auto" w:fill="auto"/>
          </w:tcPr>
          <w:p w14:paraId="46249AD7" w14:textId="77777777" w:rsidR="00F71718" w:rsidRPr="00115061" w:rsidRDefault="00F71718"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055503CC" w14:textId="77777777" w:rsidR="00F71718" w:rsidRPr="00115061" w:rsidRDefault="00F71718"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297F6CD9" w14:textId="77777777" w:rsidR="00F71718" w:rsidRPr="00115061" w:rsidRDefault="00F71718"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187F7C1A" w14:textId="77777777" w:rsidR="00F71718" w:rsidRPr="00ED6D54" w:rsidRDefault="00F71718" w:rsidP="00BB5403">
            <w:pPr>
              <w:jc w:val="center"/>
              <w:rPr>
                <w:rFonts w:cstheme="minorHAnsi"/>
                <w:color w:val="auto"/>
                <w:sz w:val="20"/>
                <w:szCs w:val="20"/>
                <w:lang w:val="en-GB"/>
              </w:rPr>
            </w:pPr>
          </w:p>
        </w:tc>
      </w:tr>
      <w:tr w:rsidR="00FF1F77" w:rsidRPr="00115061" w14:paraId="64A1090B" w14:textId="77777777" w:rsidTr="00C22BEF">
        <w:trPr>
          <w:trHeight w:val="236"/>
        </w:trPr>
        <w:tc>
          <w:tcPr>
            <w:tcW w:w="1080" w:type="pct"/>
            <w:vMerge/>
            <w:tcBorders>
              <w:top w:val="single" w:sz="4" w:space="0" w:color="auto"/>
              <w:left w:val="single" w:sz="4" w:space="0" w:color="auto"/>
              <w:right w:val="single" w:sz="4" w:space="0" w:color="auto"/>
            </w:tcBorders>
            <w:shd w:val="clear" w:color="auto" w:fill="auto"/>
          </w:tcPr>
          <w:p w14:paraId="5F24117D" w14:textId="77777777" w:rsidR="00FF1F77" w:rsidRDefault="00FF1F77" w:rsidP="00BB5403">
            <w:pPr>
              <w:jc w:val="left"/>
              <w:rPr>
                <w:rFonts w:cstheme="minorHAnsi"/>
                <w:b/>
                <w:sz w:val="20"/>
                <w:szCs w:val="20"/>
                <w:lang w:val="en-GB"/>
              </w:rPr>
            </w:pPr>
          </w:p>
        </w:tc>
        <w:tc>
          <w:tcPr>
            <w:tcW w:w="1651" w:type="pct"/>
            <w:gridSpan w:val="2"/>
            <w:tcBorders>
              <w:top w:val="single" w:sz="4" w:space="0" w:color="auto"/>
              <w:left w:val="single" w:sz="4" w:space="0" w:color="auto"/>
              <w:right w:val="single" w:sz="4" w:space="0" w:color="auto"/>
            </w:tcBorders>
            <w:shd w:val="clear" w:color="auto" w:fill="auto"/>
          </w:tcPr>
          <w:p w14:paraId="05BFE0C0" w14:textId="7DFD7FBD" w:rsidR="00FF1F77" w:rsidRDefault="00F71718" w:rsidP="00BB5403">
            <w:pPr>
              <w:jc w:val="left"/>
              <w:rPr>
                <w:rFonts w:cstheme="minorHAnsi"/>
                <w:sz w:val="20"/>
                <w:szCs w:val="20"/>
                <w:lang w:val="en-GB"/>
              </w:rPr>
            </w:pPr>
            <w:r>
              <w:rPr>
                <w:rFonts w:cstheme="minorHAnsi"/>
                <w:sz w:val="20"/>
                <w:szCs w:val="20"/>
                <w:lang w:val="en-GB"/>
              </w:rPr>
              <w:t>7(c) – The career path of public procurement is competitive compared to the rest of the civil service</w:t>
            </w:r>
          </w:p>
        </w:tc>
        <w:tc>
          <w:tcPr>
            <w:tcW w:w="675" w:type="pct"/>
            <w:gridSpan w:val="2"/>
            <w:tcBorders>
              <w:top w:val="single" w:sz="4" w:space="0" w:color="auto"/>
              <w:left w:val="single" w:sz="4" w:space="0" w:color="auto"/>
              <w:right w:val="single" w:sz="4" w:space="0" w:color="auto"/>
            </w:tcBorders>
            <w:shd w:val="clear" w:color="auto" w:fill="auto"/>
          </w:tcPr>
          <w:p w14:paraId="2D1DCE4A" w14:textId="77777777" w:rsidR="00FF1F77" w:rsidRPr="00115061" w:rsidRDefault="00FF1F77"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6B7FAA9F" w14:textId="77777777" w:rsidR="00FF1F77" w:rsidRPr="00115061" w:rsidRDefault="00FF1F77"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1BC18961" w14:textId="77777777" w:rsidR="00FF1F77" w:rsidRPr="00115061" w:rsidRDefault="00FF1F77"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6AC00C34" w14:textId="77777777" w:rsidR="00FF1F77" w:rsidRPr="00ED6D54" w:rsidRDefault="00FF1F77" w:rsidP="00BB5403">
            <w:pPr>
              <w:jc w:val="center"/>
              <w:rPr>
                <w:rFonts w:cstheme="minorHAnsi"/>
                <w:color w:val="auto"/>
                <w:sz w:val="20"/>
                <w:szCs w:val="20"/>
                <w:lang w:val="en-GB"/>
              </w:rPr>
            </w:pPr>
          </w:p>
        </w:tc>
      </w:tr>
      <w:tr w:rsidR="00BB5403" w:rsidRPr="00115061" w14:paraId="5AA3F72A" w14:textId="77777777" w:rsidTr="00C22BEF">
        <w:trPr>
          <w:trHeight w:val="236"/>
        </w:trPr>
        <w:tc>
          <w:tcPr>
            <w:tcW w:w="1080" w:type="pct"/>
            <w:vMerge w:val="restart"/>
            <w:tcBorders>
              <w:top w:val="single" w:sz="4" w:space="0" w:color="auto"/>
              <w:left w:val="single" w:sz="4" w:space="0" w:color="auto"/>
              <w:right w:val="single" w:sz="4" w:space="0" w:color="auto"/>
            </w:tcBorders>
            <w:shd w:val="clear" w:color="auto" w:fill="auto"/>
          </w:tcPr>
          <w:p w14:paraId="0CF57DD1" w14:textId="0B287C56" w:rsidR="00BB5403" w:rsidRPr="00115061" w:rsidRDefault="00FF1F77" w:rsidP="00BB5403">
            <w:pPr>
              <w:jc w:val="left"/>
              <w:rPr>
                <w:rFonts w:cstheme="minorHAnsi"/>
                <w:b/>
                <w:sz w:val="20"/>
                <w:szCs w:val="20"/>
                <w:lang w:val="en-GB"/>
              </w:rPr>
            </w:pPr>
            <w:r>
              <w:rPr>
                <w:rFonts w:cstheme="minorHAnsi"/>
                <w:b/>
                <w:sz w:val="20"/>
                <w:szCs w:val="20"/>
                <w:lang w:val="en-GB"/>
              </w:rPr>
              <w:t>8</w:t>
            </w:r>
            <w:r w:rsidR="00C22BEF">
              <w:rPr>
                <w:rFonts w:cstheme="minorHAnsi"/>
                <w:b/>
                <w:sz w:val="20"/>
                <w:szCs w:val="20"/>
                <w:lang w:val="en-GB"/>
              </w:rPr>
              <w:t>. Market conditions favour the development of professionalisation</w:t>
            </w:r>
          </w:p>
        </w:tc>
        <w:tc>
          <w:tcPr>
            <w:tcW w:w="1651" w:type="pct"/>
            <w:gridSpan w:val="2"/>
            <w:tcBorders>
              <w:top w:val="single" w:sz="4" w:space="0" w:color="auto"/>
              <w:left w:val="single" w:sz="4" w:space="0" w:color="auto"/>
              <w:right w:val="single" w:sz="4" w:space="0" w:color="auto"/>
            </w:tcBorders>
            <w:shd w:val="clear" w:color="auto" w:fill="auto"/>
          </w:tcPr>
          <w:p w14:paraId="40E86C27" w14:textId="2B5AA6CC" w:rsidR="00BB5403" w:rsidRPr="00115061" w:rsidRDefault="00FF1F77" w:rsidP="00BB5403">
            <w:pPr>
              <w:jc w:val="left"/>
              <w:rPr>
                <w:rFonts w:cstheme="minorHAnsi"/>
                <w:sz w:val="20"/>
                <w:szCs w:val="20"/>
                <w:lang w:val="en-GB"/>
              </w:rPr>
            </w:pPr>
            <w:r>
              <w:rPr>
                <w:rFonts w:cstheme="minorHAnsi"/>
                <w:sz w:val="20"/>
                <w:szCs w:val="20"/>
                <w:lang w:val="en-GB"/>
              </w:rPr>
              <w:t xml:space="preserve">8(a) – </w:t>
            </w:r>
            <w:r w:rsidR="00C22BEF">
              <w:rPr>
                <w:rFonts w:cstheme="minorHAnsi"/>
                <w:sz w:val="20"/>
                <w:szCs w:val="20"/>
                <w:lang w:val="en-GB"/>
              </w:rPr>
              <w:t>Competitive professionalisation assets</w:t>
            </w:r>
          </w:p>
        </w:tc>
        <w:tc>
          <w:tcPr>
            <w:tcW w:w="675" w:type="pct"/>
            <w:gridSpan w:val="2"/>
            <w:tcBorders>
              <w:top w:val="single" w:sz="4" w:space="0" w:color="auto"/>
              <w:left w:val="single" w:sz="4" w:space="0" w:color="auto"/>
              <w:right w:val="single" w:sz="4" w:space="0" w:color="auto"/>
            </w:tcBorders>
            <w:shd w:val="clear" w:color="auto" w:fill="auto"/>
          </w:tcPr>
          <w:p w14:paraId="2F89FAF9" w14:textId="77777777" w:rsidR="00BB5403" w:rsidRPr="00115061" w:rsidRDefault="00BB5403"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5B6DDE06" w14:textId="77777777" w:rsidR="00BB5403" w:rsidRPr="00115061" w:rsidRDefault="00BB5403"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20EB7588" w14:textId="77777777" w:rsidR="00BB5403" w:rsidRPr="00115061" w:rsidRDefault="00BB5403"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0408A4B9" w14:textId="77777777" w:rsidR="00BB5403" w:rsidRPr="00ED6D54" w:rsidRDefault="00BB5403" w:rsidP="00BB5403">
            <w:pPr>
              <w:jc w:val="center"/>
              <w:rPr>
                <w:rFonts w:cstheme="minorHAnsi"/>
                <w:color w:val="auto"/>
                <w:sz w:val="20"/>
                <w:szCs w:val="20"/>
                <w:lang w:val="en-GB"/>
              </w:rPr>
            </w:pPr>
          </w:p>
        </w:tc>
      </w:tr>
      <w:tr w:rsidR="00C22BEF" w:rsidRPr="00115061" w14:paraId="2F9C5091" w14:textId="77777777" w:rsidTr="00C22BEF">
        <w:trPr>
          <w:trHeight w:val="236"/>
        </w:trPr>
        <w:tc>
          <w:tcPr>
            <w:tcW w:w="1080" w:type="pct"/>
            <w:vMerge/>
            <w:tcBorders>
              <w:top w:val="single" w:sz="4" w:space="0" w:color="auto"/>
              <w:left w:val="single" w:sz="4" w:space="0" w:color="auto"/>
              <w:right w:val="single" w:sz="4" w:space="0" w:color="auto"/>
            </w:tcBorders>
            <w:shd w:val="clear" w:color="auto" w:fill="auto"/>
          </w:tcPr>
          <w:p w14:paraId="795A1C72" w14:textId="77777777" w:rsidR="00C22BEF" w:rsidRDefault="00C22BEF" w:rsidP="00BB5403">
            <w:pPr>
              <w:jc w:val="left"/>
              <w:rPr>
                <w:rFonts w:cstheme="minorHAnsi"/>
                <w:b/>
                <w:sz w:val="20"/>
                <w:szCs w:val="20"/>
                <w:lang w:val="en-GB"/>
              </w:rPr>
            </w:pPr>
          </w:p>
        </w:tc>
        <w:tc>
          <w:tcPr>
            <w:tcW w:w="1651" w:type="pct"/>
            <w:gridSpan w:val="2"/>
            <w:tcBorders>
              <w:top w:val="single" w:sz="4" w:space="0" w:color="auto"/>
              <w:left w:val="single" w:sz="4" w:space="0" w:color="auto"/>
              <w:right w:val="single" w:sz="4" w:space="0" w:color="auto"/>
            </w:tcBorders>
            <w:shd w:val="clear" w:color="auto" w:fill="auto"/>
          </w:tcPr>
          <w:p w14:paraId="110243CB" w14:textId="2A8DCAD2" w:rsidR="00C22BEF" w:rsidRDefault="00C22BEF" w:rsidP="00BB5403">
            <w:pPr>
              <w:jc w:val="left"/>
              <w:rPr>
                <w:rFonts w:cstheme="minorHAnsi"/>
                <w:sz w:val="20"/>
                <w:szCs w:val="20"/>
                <w:lang w:val="en-GB"/>
              </w:rPr>
            </w:pPr>
            <w:r>
              <w:rPr>
                <w:rFonts w:cstheme="minorHAnsi"/>
                <w:sz w:val="20"/>
                <w:szCs w:val="20"/>
                <w:lang w:val="en-GB"/>
              </w:rPr>
              <w:t>8</w:t>
            </w:r>
            <w:r w:rsidRPr="00115061">
              <w:rPr>
                <w:rFonts w:cstheme="minorHAnsi"/>
                <w:sz w:val="20"/>
                <w:szCs w:val="20"/>
                <w:lang w:val="en-GB"/>
              </w:rPr>
              <w:t xml:space="preserve">(b) – </w:t>
            </w:r>
            <w:r>
              <w:rPr>
                <w:rFonts w:cstheme="minorHAnsi"/>
                <w:sz w:val="20"/>
                <w:szCs w:val="20"/>
                <w:lang w:val="en-GB"/>
              </w:rPr>
              <w:t>Access to professionalisation assets</w:t>
            </w:r>
          </w:p>
        </w:tc>
        <w:tc>
          <w:tcPr>
            <w:tcW w:w="675" w:type="pct"/>
            <w:gridSpan w:val="2"/>
            <w:tcBorders>
              <w:top w:val="single" w:sz="4" w:space="0" w:color="auto"/>
              <w:left w:val="single" w:sz="4" w:space="0" w:color="auto"/>
              <w:right w:val="single" w:sz="4" w:space="0" w:color="auto"/>
            </w:tcBorders>
            <w:shd w:val="clear" w:color="auto" w:fill="auto"/>
          </w:tcPr>
          <w:p w14:paraId="1EEF7852" w14:textId="77777777" w:rsidR="00C22BEF" w:rsidRPr="00115061" w:rsidRDefault="00C22BEF"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63E7B6C2" w14:textId="77777777" w:rsidR="00C22BEF" w:rsidRPr="00115061" w:rsidRDefault="00C22BEF"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4B5B0991" w14:textId="77777777" w:rsidR="00C22BEF" w:rsidRPr="00115061" w:rsidRDefault="00C22BEF"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7E8AD863" w14:textId="77777777" w:rsidR="00C22BEF" w:rsidRPr="00ED6D54" w:rsidRDefault="00C22BEF" w:rsidP="00BB5403">
            <w:pPr>
              <w:jc w:val="center"/>
              <w:rPr>
                <w:rFonts w:cstheme="minorHAnsi"/>
                <w:color w:val="auto"/>
                <w:sz w:val="20"/>
                <w:szCs w:val="20"/>
                <w:lang w:val="en-GB"/>
              </w:rPr>
            </w:pPr>
          </w:p>
        </w:tc>
      </w:tr>
      <w:tr w:rsidR="00FF1F77" w:rsidRPr="00115061" w14:paraId="2234CFD9" w14:textId="77777777" w:rsidTr="00C22BEF">
        <w:trPr>
          <w:trHeight w:val="236"/>
        </w:trPr>
        <w:tc>
          <w:tcPr>
            <w:tcW w:w="1080" w:type="pct"/>
            <w:vMerge/>
            <w:tcBorders>
              <w:top w:val="single" w:sz="4" w:space="0" w:color="auto"/>
              <w:left w:val="single" w:sz="4" w:space="0" w:color="auto"/>
              <w:right w:val="single" w:sz="4" w:space="0" w:color="auto"/>
            </w:tcBorders>
            <w:shd w:val="clear" w:color="auto" w:fill="auto"/>
          </w:tcPr>
          <w:p w14:paraId="4C901CDD" w14:textId="77777777" w:rsidR="00FF1F77" w:rsidRDefault="00FF1F77" w:rsidP="00FF1F77">
            <w:pPr>
              <w:jc w:val="left"/>
              <w:rPr>
                <w:rFonts w:cstheme="minorHAnsi"/>
                <w:b/>
                <w:sz w:val="20"/>
                <w:szCs w:val="20"/>
                <w:lang w:val="en-GB"/>
              </w:rPr>
            </w:pPr>
          </w:p>
        </w:tc>
        <w:tc>
          <w:tcPr>
            <w:tcW w:w="1651" w:type="pct"/>
            <w:gridSpan w:val="2"/>
            <w:tcBorders>
              <w:top w:val="single" w:sz="4" w:space="0" w:color="auto"/>
              <w:left w:val="single" w:sz="4" w:space="0" w:color="auto"/>
              <w:right w:val="single" w:sz="4" w:space="0" w:color="auto"/>
            </w:tcBorders>
            <w:shd w:val="clear" w:color="auto" w:fill="auto"/>
          </w:tcPr>
          <w:p w14:paraId="4FB01656" w14:textId="06F83507" w:rsidR="00FF1F77" w:rsidRDefault="00C22BEF" w:rsidP="00FF1F77">
            <w:pPr>
              <w:jc w:val="left"/>
              <w:rPr>
                <w:rFonts w:cstheme="minorHAnsi"/>
                <w:sz w:val="20"/>
                <w:szCs w:val="20"/>
                <w:lang w:val="en-GB"/>
              </w:rPr>
            </w:pPr>
            <w:r>
              <w:rPr>
                <w:rFonts w:cstheme="minorHAnsi"/>
                <w:sz w:val="20"/>
                <w:szCs w:val="20"/>
                <w:lang w:val="en-GB"/>
              </w:rPr>
              <w:t>8(c) – Open and inclusive professionalisation market</w:t>
            </w:r>
          </w:p>
        </w:tc>
        <w:tc>
          <w:tcPr>
            <w:tcW w:w="675" w:type="pct"/>
            <w:gridSpan w:val="2"/>
            <w:tcBorders>
              <w:top w:val="single" w:sz="4" w:space="0" w:color="auto"/>
              <w:left w:val="single" w:sz="4" w:space="0" w:color="auto"/>
              <w:right w:val="single" w:sz="4" w:space="0" w:color="auto"/>
            </w:tcBorders>
            <w:shd w:val="clear" w:color="auto" w:fill="auto"/>
          </w:tcPr>
          <w:p w14:paraId="3155C918" w14:textId="77777777" w:rsidR="00FF1F77" w:rsidRPr="00115061" w:rsidRDefault="00FF1F77" w:rsidP="00FF1F77">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43106E1E" w14:textId="77777777" w:rsidR="00FF1F77" w:rsidRPr="00115061" w:rsidRDefault="00FF1F77" w:rsidP="00FF1F77">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85D4AEA" w14:textId="77777777" w:rsidR="00FF1F77" w:rsidRPr="00115061" w:rsidRDefault="00FF1F77" w:rsidP="00FF1F77">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5E0FE0ED" w14:textId="77777777" w:rsidR="00FF1F77" w:rsidRPr="00ED6D54" w:rsidRDefault="00FF1F77" w:rsidP="00FF1F77">
            <w:pPr>
              <w:jc w:val="center"/>
              <w:rPr>
                <w:rFonts w:cstheme="minorHAnsi"/>
                <w:color w:val="auto"/>
                <w:sz w:val="20"/>
                <w:szCs w:val="20"/>
                <w:lang w:val="en-GB"/>
              </w:rPr>
            </w:pPr>
          </w:p>
        </w:tc>
      </w:tr>
    </w:tbl>
    <w:p w14:paraId="21B9EF12" w14:textId="77777777" w:rsidR="00292D38" w:rsidRDefault="00292D38" w:rsidP="001D4B1B">
      <w:pPr>
        <w:tabs>
          <w:tab w:val="left" w:pos="2602"/>
        </w:tabs>
        <w:rPr>
          <w:rFonts w:cstheme="minorHAnsi"/>
          <w:lang w:val="en-GB"/>
        </w:rPr>
      </w:pPr>
    </w:p>
    <w:tbl>
      <w:tblPr>
        <w:tblStyle w:val="TableGrid1"/>
        <w:tblW w:w="5000" w:type="pct"/>
        <w:tblLook w:val="04A0" w:firstRow="1" w:lastRow="0" w:firstColumn="1" w:lastColumn="0" w:noHBand="0" w:noVBand="1"/>
      </w:tblPr>
      <w:tblGrid>
        <w:gridCol w:w="1801"/>
        <w:gridCol w:w="3218"/>
        <w:gridCol w:w="1261"/>
        <w:gridCol w:w="1189"/>
        <w:gridCol w:w="1240"/>
        <w:gridCol w:w="641"/>
      </w:tblGrid>
      <w:tr w:rsidR="00C22BEF" w:rsidRPr="00115061" w14:paraId="46F0D4C3" w14:textId="77777777" w:rsidTr="00A10348">
        <w:trPr>
          <w:trHeight w:val="203"/>
          <w:tblHeader/>
        </w:trPr>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14:paraId="6A1F67D1" w14:textId="48CFEAE1" w:rsidR="00C22BEF" w:rsidRPr="00115061" w:rsidRDefault="00C22BEF" w:rsidP="00A10348">
            <w:pPr>
              <w:jc w:val="center"/>
              <w:rPr>
                <w:rFonts w:cstheme="minorHAnsi"/>
                <w:b/>
                <w:lang w:val="en-GB"/>
              </w:rPr>
            </w:pPr>
            <w:r w:rsidRPr="00115061">
              <w:rPr>
                <w:rFonts w:cstheme="minorHAnsi"/>
                <w:lang w:val="en-GB"/>
              </w:rPr>
              <w:br w:type="page"/>
            </w:r>
            <w:r w:rsidRPr="00115061">
              <w:rPr>
                <w:rFonts w:cstheme="minorHAnsi"/>
                <w:b/>
                <w:lang w:val="en-GB"/>
              </w:rPr>
              <w:t xml:space="preserve">PILLAR </w:t>
            </w:r>
            <w:r>
              <w:rPr>
                <w:rFonts w:cstheme="minorHAnsi"/>
                <w:b/>
                <w:lang w:val="en-GB"/>
              </w:rPr>
              <w:t>IV</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51DEB87B" w14:textId="77777777" w:rsidR="00C22BEF" w:rsidRPr="00703B43" w:rsidRDefault="00C22BEF" w:rsidP="00A10348">
            <w:pPr>
              <w:jc w:val="center"/>
              <w:rPr>
                <w:rFonts w:cstheme="minorHAnsi"/>
                <w:b/>
                <w:bCs/>
                <w:sz w:val="22"/>
                <w:szCs w:val="22"/>
                <w:lang w:val="en-GB"/>
              </w:rPr>
            </w:pPr>
            <w:r w:rsidRPr="00703B43">
              <w:rPr>
                <w:rFonts w:cstheme="minorHAnsi"/>
                <w:b/>
                <w:bCs/>
                <w:sz w:val="22"/>
                <w:szCs w:val="22"/>
                <w:lang w:val="en-GB"/>
              </w:rPr>
              <w:t>Full compliance</w:t>
            </w:r>
          </w:p>
        </w:tc>
        <w:tc>
          <w:tcPr>
            <w:tcW w:w="636" w:type="pct"/>
            <w:tcBorders>
              <w:top w:val="single" w:sz="4" w:space="0" w:color="auto"/>
              <w:left w:val="single" w:sz="4" w:space="0" w:color="auto"/>
              <w:bottom w:val="single" w:sz="4" w:space="0" w:color="auto"/>
              <w:right w:val="single" w:sz="4" w:space="0" w:color="auto"/>
            </w:tcBorders>
            <w:shd w:val="clear" w:color="auto" w:fill="FFFF00"/>
          </w:tcPr>
          <w:p w14:paraId="685834AD" w14:textId="77777777" w:rsidR="00C22BEF" w:rsidRPr="00703B43" w:rsidRDefault="00C22BEF" w:rsidP="00A10348">
            <w:pPr>
              <w:jc w:val="center"/>
              <w:rPr>
                <w:rFonts w:cstheme="minorHAnsi"/>
                <w:b/>
                <w:bCs/>
                <w:sz w:val="22"/>
                <w:szCs w:val="22"/>
                <w:lang w:val="en-GB"/>
              </w:rPr>
            </w:pPr>
            <w:r w:rsidRPr="00703B43">
              <w:rPr>
                <w:rFonts w:cstheme="minorHAnsi"/>
                <w:b/>
                <w:bCs/>
                <w:sz w:val="22"/>
                <w:szCs w:val="22"/>
                <w:lang w:val="en-GB"/>
              </w:rPr>
              <w:t>Gaps identified</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1AE9C391" w14:textId="77777777" w:rsidR="00C22BEF" w:rsidRPr="00703B43" w:rsidRDefault="00C22BEF" w:rsidP="00A10348">
            <w:pPr>
              <w:jc w:val="center"/>
              <w:rPr>
                <w:rFonts w:cstheme="minorHAnsi"/>
                <w:b/>
                <w:bCs/>
                <w:sz w:val="22"/>
                <w:szCs w:val="22"/>
                <w:lang w:val="en-GB"/>
              </w:rPr>
            </w:pPr>
            <w:r w:rsidRPr="00703B43">
              <w:rPr>
                <w:rFonts w:cstheme="minorHAnsi"/>
                <w:b/>
                <w:bCs/>
                <w:sz w:val="22"/>
                <w:szCs w:val="22"/>
                <w:lang w:val="en-GB"/>
              </w:rPr>
              <w:t>Substantial gaps identified</w:t>
            </w:r>
          </w:p>
        </w:tc>
        <w:tc>
          <w:tcPr>
            <w:tcW w:w="343" w:type="pct"/>
            <w:tcBorders>
              <w:top w:val="single" w:sz="4" w:space="0" w:color="auto"/>
              <w:left w:val="single" w:sz="4" w:space="0" w:color="auto"/>
              <w:bottom w:val="single" w:sz="4" w:space="0" w:color="auto"/>
              <w:right w:val="single" w:sz="4" w:space="0" w:color="auto"/>
            </w:tcBorders>
          </w:tcPr>
          <w:p w14:paraId="150048AD" w14:textId="77777777" w:rsidR="00C22BEF" w:rsidRPr="00ED6D54" w:rsidRDefault="00C22BEF" w:rsidP="00A10348">
            <w:pPr>
              <w:jc w:val="center"/>
              <w:rPr>
                <w:rFonts w:cstheme="minorHAnsi"/>
                <w:b/>
                <w:bCs/>
                <w:color w:val="auto"/>
                <w:sz w:val="22"/>
                <w:szCs w:val="22"/>
                <w:lang w:val="en-GB"/>
              </w:rPr>
            </w:pPr>
            <w:r w:rsidRPr="00ED6D54">
              <w:rPr>
                <w:rFonts w:cstheme="minorHAnsi"/>
                <w:b/>
                <w:bCs/>
                <w:color w:val="auto"/>
                <w:sz w:val="22"/>
                <w:szCs w:val="22"/>
                <w:lang w:val="en-GB"/>
              </w:rPr>
              <w:t>Red flags</w:t>
            </w:r>
          </w:p>
        </w:tc>
      </w:tr>
      <w:tr w:rsidR="00C22BEF" w:rsidRPr="00115061" w14:paraId="0872C458" w14:textId="77777777" w:rsidTr="00A10348">
        <w:trPr>
          <w:trHeight w:val="236"/>
        </w:trPr>
        <w:tc>
          <w:tcPr>
            <w:tcW w:w="963" w:type="pct"/>
            <w:vMerge w:val="restart"/>
            <w:tcBorders>
              <w:top w:val="single" w:sz="4" w:space="0" w:color="auto"/>
              <w:left w:val="single" w:sz="4" w:space="0" w:color="auto"/>
              <w:right w:val="single" w:sz="4" w:space="0" w:color="auto"/>
            </w:tcBorders>
            <w:shd w:val="clear" w:color="auto" w:fill="auto"/>
          </w:tcPr>
          <w:p w14:paraId="201F145C" w14:textId="77777777" w:rsidR="00C22BEF" w:rsidRPr="00115061" w:rsidRDefault="00C22BEF" w:rsidP="00A10348">
            <w:pPr>
              <w:jc w:val="left"/>
              <w:rPr>
                <w:rFonts w:cstheme="minorHAnsi"/>
                <w:b/>
                <w:sz w:val="20"/>
                <w:szCs w:val="20"/>
                <w:lang w:val="en-GB"/>
              </w:rPr>
            </w:pPr>
            <w:r>
              <w:rPr>
                <w:rFonts w:cstheme="minorHAnsi"/>
                <w:b/>
                <w:sz w:val="20"/>
                <w:szCs w:val="20"/>
                <w:lang w:val="en-GB"/>
              </w:rPr>
              <w:t>9. The professionalisation policy considers ethics and accountability</w:t>
            </w:r>
          </w:p>
        </w:tc>
        <w:tc>
          <w:tcPr>
            <w:tcW w:w="1721" w:type="pct"/>
            <w:tcBorders>
              <w:top w:val="single" w:sz="4" w:space="0" w:color="auto"/>
              <w:left w:val="single" w:sz="4" w:space="0" w:color="auto"/>
              <w:right w:val="single" w:sz="4" w:space="0" w:color="auto"/>
            </w:tcBorders>
            <w:shd w:val="clear" w:color="auto" w:fill="auto"/>
          </w:tcPr>
          <w:p w14:paraId="635CC6E4" w14:textId="77777777" w:rsidR="00C22BEF" w:rsidRPr="00115061" w:rsidRDefault="00C22BEF" w:rsidP="00A10348">
            <w:pPr>
              <w:jc w:val="left"/>
              <w:rPr>
                <w:rFonts w:cstheme="minorHAnsi"/>
                <w:sz w:val="20"/>
                <w:szCs w:val="20"/>
                <w:lang w:val="en-GB"/>
              </w:rPr>
            </w:pPr>
            <w:r>
              <w:rPr>
                <w:rFonts w:cstheme="minorHAnsi"/>
                <w:sz w:val="20"/>
                <w:szCs w:val="20"/>
                <w:lang w:val="en-GB"/>
              </w:rPr>
              <w:t>9</w:t>
            </w:r>
            <w:r w:rsidRPr="00115061">
              <w:rPr>
                <w:rFonts w:cstheme="minorHAnsi"/>
                <w:sz w:val="20"/>
                <w:szCs w:val="20"/>
                <w:lang w:val="en-GB"/>
              </w:rPr>
              <w:t xml:space="preserve">(a) – </w:t>
            </w:r>
            <w:r>
              <w:rPr>
                <w:rFonts w:cstheme="minorHAnsi"/>
                <w:sz w:val="20"/>
                <w:szCs w:val="20"/>
                <w:lang w:val="en-GB"/>
              </w:rPr>
              <w:t>Ethical considerations in the professionalisation policy</w:t>
            </w:r>
          </w:p>
        </w:tc>
        <w:tc>
          <w:tcPr>
            <w:tcW w:w="674" w:type="pct"/>
            <w:tcBorders>
              <w:top w:val="single" w:sz="4" w:space="0" w:color="auto"/>
              <w:left w:val="single" w:sz="4" w:space="0" w:color="auto"/>
              <w:right w:val="single" w:sz="4" w:space="0" w:color="auto"/>
            </w:tcBorders>
            <w:shd w:val="clear" w:color="auto" w:fill="auto"/>
          </w:tcPr>
          <w:p w14:paraId="7946FEE1" w14:textId="77777777" w:rsidR="00C22BEF" w:rsidRPr="00115061" w:rsidRDefault="00C22BEF" w:rsidP="00A10348">
            <w:pPr>
              <w:jc w:val="center"/>
              <w:rPr>
                <w:rFonts w:cstheme="minorHAnsi"/>
                <w:sz w:val="20"/>
                <w:szCs w:val="20"/>
                <w:lang w:val="en-GB"/>
              </w:rPr>
            </w:pPr>
          </w:p>
        </w:tc>
        <w:tc>
          <w:tcPr>
            <w:tcW w:w="636" w:type="pct"/>
            <w:tcBorders>
              <w:top w:val="single" w:sz="4" w:space="0" w:color="auto"/>
              <w:left w:val="single" w:sz="4" w:space="0" w:color="auto"/>
              <w:right w:val="single" w:sz="4" w:space="0" w:color="auto"/>
            </w:tcBorders>
            <w:shd w:val="clear" w:color="auto" w:fill="auto"/>
          </w:tcPr>
          <w:p w14:paraId="33ACE6B7" w14:textId="77777777" w:rsidR="00C22BEF" w:rsidRPr="00115061" w:rsidRDefault="00C22BEF" w:rsidP="00A10348">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0B1BC064" w14:textId="77777777" w:rsidR="00C22BEF" w:rsidRPr="00115061" w:rsidRDefault="00C22BEF" w:rsidP="00A10348">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42B081DD" w14:textId="77777777" w:rsidR="00C22BEF" w:rsidRPr="00ED6D54" w:rsidRDefault="00C22BEF" w:rsidP="00A10348">
            <w:pPr>
              <w:jc w:val="center"/>
              <w:rPr>
                <w:rFonts w:cstheme="minorHAnsi"/>
                <w:color w:val="auto"/>
                <w:sz w:val="20"/>
                <w:szCs w:val="20"/>
                <w:lang w:val="en-GB"/>
              </w:rPr>
            </w:pPr>
          </w:p>
        </w:tc>
      </w:tr>
      <w:tr w:rsidR="00C22BEF" w:rsidRPr="00115061" w14:paraId="6BAFA425" w14:textId="77777777" w:rsidTr="00A10348">
        <w:trPr>
          <w:trHeight w:val="233"/>
        </w:trPr>
        <w:tc>
          <w:tcPr>
            <w:tcW w:w="963" w:type="pct"/>
            <w:vMerge/>
            <w:tcBorders>
              <w:left w:val="single" w:sz="4" w:space="0" w:color="auto"/>
              <w:right w:val="single" w:sz="4" w:space="0" w:color="auto"/>
            </w:tcBorders>
            <w:shd w:val="clear" w:color="auto" w:fill="auto"/>
          </w:tcPr>
          <w:p w14:paraId="35E31B44" w14:textId="77777777" w:rsidR="00C22BEF" w:rsidRPr="00115061" w:rsidRDefault="00C22BEF" w:rsidP="00A10348">
            <w:pPr>
              <w:jc w:val="left"/>
              <w:rPr>
                <w:rFonts w:cstheme="minorHAnsi"/>
                <w:sz w:val="20"/>
                <w:szCs w:val="20"/>
                <w:lang w:val="en-GB"/>
              </w:rPr>
            </w:pPr>
          </w:p>
        </w:tc>
        <w:tc>
          <w:tcPr>
            <w:tcW w:w="1721" w:type="pct"/>
            <w:tcBorders>
              <w:left w:val="single" w:sz="4" w:space="0" w:color="auto"/>
              <w:right w:val="single" w:sz="4" w:space="0" w:color="auto"/>
            </w:tcBorders>
            <w:shd w:val="clear" w:color="auto" w:fill="auto"/>
          </w:tcPr>
          <w:p w14:paraId="6499DB7D" w14:textId="77777777" w:rsidR="00C22BEF" w:rsidRPr="00115061" w:rsidRDefault="00C22BEF" w:rsidP="00A10348">
            <w:pPr>
              <w:jc w:val="left"/>
              <w:rPr>
                <w:rFonts w:cstheme="minorHAnsi"/>
                <w:sz w:val="20"/>
                <w:szCs w:val="20"/>
                <w:lang w:val="en-GB"/>
              </w:rPr>
            </w:pPr>
            <w:r>
              <w:rPr>
                <w:rFonts w:cstheme="minorHAnsi"/>
                <w:sz w:val="20"/>
                <w:szCs w:val="20"/>
                <w:lang w:val="en-GB"/>
              </w:rPr>
              <w:t>9</w:t>
            </w:r>
            <w:r w:rsidRPr="00115061">
              <w:rPr>
                <w:rFonts w:cstheme="minorHAnsi"/>
                <w:sz w:val="20"/>
                <w:szCs w:val="20"/>
                <w:lang w:val="en-GB"/>
              </w:rPr>
              <w:t xml:space="preserve">(b) – </w:t>
            </w:r>
            <w:r>
              <w:rPr>
                <w:rFonts w:cstheme="minorHAnsi"/>
                <w:sz w:val="20"/>
                <w:szCs w:val="20"/>
                <w:lang w:val="en-GB"/>
              </w:rPr>
              <w:t>Management for results and accountability</w:t>
            </w:r>
          </w:p>
        </w:tc>
        <w:tc>
          <w:tcPr>
            <w:tcW w:w="674" w:type="pct"/>
            <w:tcBorders>
              <w:left w:val="single" w:sz="4" w:space="0" w:color="auto"/>
              <w:right w:val="single" w:sz="4" w:space="0" w:color="auto"/>
            </w:tcBorders>
            <w:shd w:val="clear" w:color="auto" w:fill="auto"/>
          </w:tcPr>
          <w:p w14:paraId="7D8637CD" w14:textId="77777777" w:rsidR="00C22BEF" w:rsidRPr="00115061" w:rsidRDefault="00C22BEF" w:rsidP="00A10348">
            <w:pPr>
              <w:jc w:val="center"/>
              <w:rPr>
                <w:rFonts w:cstheme="minorHAnsi"/>
                <w:sz w:val="20"/>
                <w:szCs w:val="20"/>
                <w:lang w:val="en-GB"/>
              </w:rPr>
            </w:pPr>
          </w:p>
        </w:tc>
        <w:tc>
          <w:tcPr>
            <w:tcW w:w="636" w:type="pct"/>
            <w:tcBorders>
              <w:left w:val="single" w:sz="4" w:space="0" w:color="auto"/>
              <w:right w:val="single" w:sz="4" w:space="0" w:color="auto"/>
            </w:tcBorders>
            <w:shd w:val="clear" w:color="auto" w:fill="auto"/>
          </w:tcPr>
          <w:p w14:paraId="2117BB2C" w14:textId="77777777" w:rsidR="00C22BEF" w:rsidRPr="00115061" w:rsidRDefault="00C22BEF" w:rsidP="00A10348">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267438AA" w14:textId="77777777" w:rsidR="00C22BEF" w:rsidRPr="00115061" w:rsidRDefault="00C22BEF" w:rsidP="00A10348">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53AE95A4" w14:textId="77777777" w:rsidR="00C22BEF" w:rsidRPr="00ED6D54" w:rsidRDefault="00C22BEF" w:rsidP="00A10348">
            <w:pPr>
              <w:jc w:val="center"/>
              <w:rPr>
                <w:rFonts w:cstheme="minorHAnsi"/>
                <w:color w:val="auto"/>
                <w:sz w:val="20"/>
                <w:szCs w:val="20"/>
                <w:lang w:val="en-GB"/>
              </w:rPr>
            </w:pPr>
          </w:p>
        </w:tc>
      </w:tr>
      <w:tr w:rsidR="00C22BEF" w:rsidRPr="00115061" w14:paraId="3C8BC4F5" w14:textId="77777777" w:rsidTr="00A10348">
        <w:trPr>
          <w:trHeight w:val="236"/>
        </w:trPr>
        <w:tc>
          <w:tcPr>
            <w:tcW w:w="963" w:type="pct"/>
            <w:vMerge w:val="restart"/>
            <w:tcBorders>
              <w:top w:val="single" w:sz="4" w:space="0" w:color="auto"/>
              <w:left w:val="single" w:sz="4" w:space="0" w:color="auto"/>
              <w:right w:val="single" w:sz="4" w:space="0" w:color="auto"/>
            </w:tcBorders>
            <w:shd w:val="clear" w:color="auto" w:fill="auto"/>
          </w:tcPr>
          <w:p w14:paraId="4C390B0A" w14:textId="77777777" w:rsidR="00C22BEF" w:rsidRPr="00115061" w:rsidRDefault="00C22BEF" w:rsidP="00A10348">
            <w:pPr>
              <w:jc w:val="left"/>
              <w:rPr>
                <w:rFonts w:cstheme="minorHAnsi"/>
                <w:b/>
                <w:sz w:val="20"/>
                <w:szCs w:val="20"/>
                <w:lang w:val="en-GB"/>
              </w:rPr>
            </w:pPr>
            <w:r>
              <w:rPr>
                <w:rFonts w:cstheme="minorHAnsi"/>
                <w:b/>
                <w:sz w:val="20"/>
                <w:szCs w:val="20"/>
                <w:lang w:val="en-GB"/>
              </w:rPr>
              <w:t xml:space="preserve">10. The country has mechanisms that support </w:t>
            </w:r>
            <w:r>
              <w:rPr>
                <w:rFonts w:cstheme="minorHAnsi"/>
                <w:b/>
                <w:sz w:val="20"/>
                <w:szCs w:val="20"/>
                <w:lang w:val="en-GB"/>
              </w:rPr>
              <w:lastRenderedPageBreak/>
              <w:t>professional integrity in public procurement</w:t>
            </w:r>
          </w:p>
        </w:tc>
        <w:tc>
          <w:tcPr>
            <w:tcW w:w="1721" w:type="pct"/>
            <w:tcBorders>
              <w:top w:val="single" w:sz="4" w:space="0" w:color="auto"/>
              <w:left w:val="single" w:sz="4" w:space="0" w:color="auto"/>
              <w:right w:val="single" w:sz="4" w:space="0" w:color="auto"/>
            </w:tcBorders>
            <w:shd w:val="clear" w:color="auto" w:fill="auto"/>
          </w:tcPr>
          <w:p w14:paraId="4369522E" w14:textId="77777777" w:rsidR="00C22BEF" w:rsidRPr="00115061" w:rsidRDefault="00C22BEF" w:rsidP="00A10348">
            <w:pPr>
              <w:jc w:val="left"/>
              <w:rPr>
                <w:rFonts w:cstheme="minorHAnsi"/>
                <w:sz w:val="20"/>
                <w:szCs w:val="20"/>
                <w:lang w:val="en-GB"/>
              </w:rPr>
            </w:pPr>
            <w:r>
              <w:rPr>
                <w:rFonts w:cstheme="minorHAnsi"/>
                <w:sz w:val="20"/>
                <w:szCs w:val="20"/>
                <w:lang w:val="en-GB"/>
              </w:rPr>
              <w:lastRenderedPageBreak/>
              <w:t>10</w:t>
            </w:r>
            <w:r w:rsidRPr="00115061">
              <w:rPr>
                <w:rFonts w:cstheme="minorHAnsi"/>
                <w:sz w:val="20"/>
                <w:szCs w:val="20"/>
                <w:lang w:val="en-GB"/>
              </w:rPr>
              <w:t xml:space="preserve">(a) – </w:t>
            </w:r>
            <w:r>
              <w:rPr>
                <w:rFonts w:cstheme="minorHAnsi"/>
                <w:sz w:val="20"/>
                <w:szCs w:val="20"/>
                <w:lang w:val="en-GB"/>
              </w:rPr>
              <w:t>Supplementary mechanisms for supporting professional integrity in place</w:t>
            </w:r>
          </w:p>
        </w:tc>
        <w:tc>
          <w:tcPr>
            <w:tcW w:w="674" w:type="pct"/>
            <w:tcBorders>
              <w:top w:val="single" w:sz="4" w:space="0" w:color="auto"/>
              <w:left w:val="single" w:sz="4" w:space="0" w:color="auto"/>
              <w:right w:val="single" w:sz="4" w:space="0" w:color="auto"/>
            </w:tcBorders>
            <w:shd w:val="clear" w:color="auto" w:fill="auto"/>
          </w:tcPr>
          <w:p w14:paraId="3A82767E" w14:textId="77777777" w:rsidR="00C22BEF" w:rsidRPr="00115061" w:rsidRDefault="00C22BEF" w:rsidP="00A10348">
            <w:pPr>
              <w:jc w:val="center"/>
              <w:rPr>
                <w:rFonts w:cstheme="minorHAnsi"/>
                <w:sz w:val="20"/>
                <w:szCs w:val="20"/>
                <w:lang w:val="en-GB"/>
              </w:rPr>
            </w:pPr>
          </w:p>
        </w:tc>
        <w:tc>
          <w:tcPr>
            <w:tcW w:w="636" w:type="pct"/>
            <w:tcBorders>
              <w:top w:val="single" w:sz="4" w:space="0" w:color="auto"/>
              <w:left w:val="single" w:sz="4" w:space="0" w:color="auto"/>
              <w:right w:val="single" w:sz="4" w:space="0" w:color="auto"/>
            </w:tcBorders>
            <w:shd w:val="clear" w:color="auto" w:fill="auto"/>
          </w:tcPr>
          <w:p w14:paraId="3A089A10" w14:textId="77777777" w:rsidR="00C22BEF" w:rsidRPr="00115061" w:rsidRDefault="00C22BEF" w:rsidP="00A10348">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770B2CEE" w14:textId="77777777" w:rsidR="00C22BEF" w:rsidRPr="00115061" w:rsidRDefault="00C22BEF" w:rsidP="00A10348">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02C78D7E" w14:textId="77777777" w:rsidR="00C22BEF" w:rsidRPr="00ED6D54" w:rsidRDefault="00C22BEF" w:rsidP="00A10348">
            <w:pPr>
              <w:jc w:val="center"/>
              <w:rPr>
                <w:rFonts w:cstheme="minorHAnsi"/>
                <w:color w:val="auto"/>
                <w:sz w:val="20"/>
                <w:szCs w:val="20"/>
                <w:lang w:val="en-GB"/>
              </w:rPr>
            </w:pPr>
          </w:p>
        </w:tc>
      </w:tr>
      <w:tr w:rsidR="00C22BEF" w:rsidRPr="00115061" w14:paraId="4D185278" w14:textId="77777777" w:rsidTr="00A10348">
        <w:trPr>
          <w:trHeight w:val="236"/>
        </w:trPr>
        <w:tc>
          <w:tcPr>
            <w:tcW w:w="963" w:type="pct"/>
            <w:vMerge/>
            <w:tcBorders>
              <w:left w:val="single" w:sz="4" w:space="0" w:color="auto"/>
              <w:right w:val="single" w:sz="4" w:space="0" w:color="auto"/>
            </w:tcBorders>
            <w:shd w:val="clear" w:color="auto" w:fill="auto"/>
          </w:tcPr>
          <w:p w14:paraId="590FCEF6" w14:textId="77777777" w:rsidR="00C22BEF" w:rsidRPr="00115061" w:rsidRDefault="00C22BEF" w:rsidP="00A10348">
            <w:pPr>
              <w:jc w:val="left"/>
              <w:rPr>
                <w:rFonts w:cstheme="minorHAnsi"/>
                <w:b/>
                <w:sz w:val="20"/>
                <w:szCs w:val="20"/>
                <w:lang w:val="en-GB"/>
              </w:rPr>
            </w:pPr>
          </w:p>
        </w:tc>
        <w:tc>
          <w:tcPr>
            <w:tcW w:w="1721" w:type="pct"/>
            <w:tcBorders>
              <w:left w:val="single" w:sz="4" w:space="0" w:color="auto"/>
              <w:right w:val="single" w:sz="4" w:space="0" w:color="auto"/>
            </w:tcBorders>
            <w:shd w:val="clear" w:color="auto" w:fill="auto"/>
          </w:tcPr>
          <w:p w14:paraId="4E8389AF" w14:textId="77777777" w:rsidR="00C22BEF" w:rsidRPr="00115061" w:rsidRDefault="00C22BEF" w:rsidP="00A10348">
            <w:pPr>
              <w:jc w:val="left"/>
              <w:rPr>
                <w:rFonts w:cstheme="minorHAnsi"/>
                <w:sz w:val="20"/>
                <w:szCs w:val="20"/>
                <w:lang w:val="en-GB"/>
              </w:rPr>
            </w:pPr>
            <w:r>
              <w:rPr>
                <w:rFonts w:cstheme="minorHAnsi"/>
                <w:sz w:val="20"/>
                <w:szCs w:val="20"/>
                <w:lang w:val="en-GB"/>
              </w:rPr>
              <w:t>10</w:t>
            </w:r>
            <w:r w:rsidRPr="00115061">
              <w:rPr>
                <w:rFonts w:cstheme="minorHAnsi"/>
                <w:sz w:val="20"/>
                <w:szCs w:val="20"/>
                <w:lang w:val="en-GB"/>
              </w:rPr>
              <w:t xml:space="preserve">(b) – </w:t>
            </w:r>
            <w:r>
              <w:rPr>
                <w:rFonts w:cstheme="minorHAnsi"/>
                <w:sz w:val="20"/>
                <w:szCs w:val="20"/>
                <w:lang w:val="en-GB"/>
              </w:rPr>
              <w:t>Implementation of mechanisms to sanction professionals for their unethical behaviour</w:t>
            </w:r>
          </w:p>
        </w:tc>
        <w:tc>
          <w:tcPr>
            <w:tcW w:w="674" w:type="pct"/>
            <w:tcBorders>
              <w:left w:val="single" w:sz="4" w:space="0" w:color="auto"/>
              <w:right w:val="single" w:sz="4" w:space="0" w:color="auto"/>
            </w:tcBorders>
            <w:shd w:val="clear" w:color="auto" w:fill="auto"/>
          </w:tcPr>
          <w:p w14:paraId="2745E202" w14:textId="77777777" w:rsidR="00C22BEF" w:rsidRPr="00115061" w:rsidRDefault="00C22BEF" w:rsidP="00A10348">
            <w:pPr>
              <w:jc w:val="center"/>
              <w:rPr>
                <w:rFonts w:cstheme="minorHAnsi"/>
                <w:sz w:val="20"/>
                <w:szCs w:val="20"/>
                <w:lang w:val="en-GB"/>
              </w:rPr>
            </w:pPr>
          </w:p>
        </w:tc>
        <w:tc>
          <w:tcPr>
            <w:tcW w:w="636" w:type="pct"/>
            <w:tcBorders>
              <w:left w:val="single" w:sz="4" w:space="0" w:color="auto"/>
              <w:right w:val="single" w:sz="4" w:space="0" w:color="auto"/>
            </w:tcBorders>
            <w:shd w:val="clear" w:color="auto" w:fill="auto"/>
          </w:tcPr>
          <w:p w14:paraId="3EFC1BA0" w14:textId="77777777" w:rsidR="00C22BEF" w:rsidRPr="00115061" w:rsidRDefault="00C22BEF" w:rsidP="00A10348">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68BCAC1A" w14:textId="77777777" w:rsidR="00C22BEF" w:rsidRPr="00115061" w:rsidRDefault="00C22BEF" w:rsidP="00A10348">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29235FA0" w14:textId="77777777" w:rsidR="00C22BEF" w:rsidRPr="00ED6D54" w:rsidRDefault="00C22BEF" w:rsidP="00A10348">
            <w:pPr>
              <w:jc w:val="center"/>
              <w:rPr>
                <w:rFonts w:cstheme="minorHAnsi"/>
                <w:color w:val="auto"/>
                <w:sz w:val="20"/>
                <w:szCs w:val="20"/>
                <w:lang w:val="en-GB"/>
              </w:rPr>
            </w:pPr>
          </w:p>
        </w:tc>
      </w:tr>
    </w:tbl>
    <w:p w14:paraId="4B025712" w14:textId="1CDD0A43" w:rsidR="00292D38" w:rsidRPr="00C22BEF" w:rsidRDefault="00292D38" w:rsidP="001D4B1B">
      <w:pPr>
        <w:tabs>
          <w:tab w:val="left" w:pos="2602"/>
        </w:tabs>
        <w:rPr>
          <w:rFonts w:cstheme="minorHAnsi"/>
        </w:rPr>
      </w:pPr>
    </w:p>
    <w:p w14:paraId="66DF7C83" w14:textId="77777777" w:rsidR="00171923" w:rsidRDefault="00171923" w:rsidP="001D4B1B">
      <w:pPr>
        <w:tabs>
          <w:tab w:val="left" w:pos="2602"/>
        </w:tabs>
        <w:rPr>
          <w:rFonts w:cstheme="minorHAnsi"/>
          <w:lang w:val="en-GB"/>
        </w:rPr>
      </w:pPr>
    </w:p>
    <w:p w14:paraId="444DEFA7" w14:textId="75153E42" w:rsidR="00570B37" w:rsidRPr="00115061" w:rsidRDefault="001D4B1B" w:rsidP="001D4B1B">
      <w:pPr>
        <w:tabs>
          <w:tab w:val="left" w:pos="2602"/>
        </w:tabs>
        <w:rPr>
          <w:rFonts w:cstheme="minorHAnsi"/>
          <w:lang w:val="en-GB"/>
        </w:rPr>
      </w:pPr>
      <w:r w:rsidRPr="00115061">
        <w:rPr>
          <w:rFonts w:cstheme="minorHAnsi"/>
          <w:lang w:val="en-GB"/>
        </w:rPr>
        <w:tab/>
      </w:r>
    </w:p>
    <w:p w14:paraId="0C74BA7B" w14:textId="561DEB5F" w:rsidR="00027E4F" w:rsidRPr="00115061" w:rsidRDefault="00027E4F" w:rsidP="006B709A">
      <w:pPr>
        <w:pStyle w:val="Heading1"/>
        <w:rPr>
          <w:lang w:val="en-GB"/>
        </w:rPr>
      </w:pPr>
      <w:bookmarkStart w:id="11" w:name="_Toc131084387"/>
      <w:r w:rsidRPr="00115061">
        <w:rPr>
          <w:lang w:val="en-GB"/>
        </w:rPr>
        <w:t>1.  Introduction</w:t>
      </w:r>
      <w:bookmarkEnd w:id="11"/>
    </w:p>
    <w:p w14:paraId="55926F4C" w14:textId="732BADC6" w:rsidR="00355CE9" w:rsidRPr="00115061" w:rsidRDefault="00355CE9" w:rsidP="00027E4F">
      <w:pPr>
        <w:rPr>
          <w:lang w:val="en-GB"/>
        </w:rPr>
      </w:pPr>
      <w:commentRangeStart w:id="12"/>
      <w:r>
        <w:rPr>
          <w:lang w:val="en-GB"/>
        </w:rPr>
        <w:t>…</w:t>
      </w:r>
      <w:commentRangeEnd w:id="12"/>
      <w:r>
        <w:rPr>
          <w:rStyle w:val="CommentReference"/>
        </w:rPr>
        <w:commentReference w:id="12"/>
      </w:r>
    </w:p>
    <w:p w14:paraId="0C74BA7D" w14:textId="77777777" w:rsidR="00FB1A47" w:rsidRPr="00115061" w:rsidRDefault="00027E4F" w:rsidP="00FB1A47">
      <w:pPr>
        <w:pStyle w:val="Heading1"/>
        <w:rPr>
          <w:lang w:val="en-GB"/>
        </w:rPr>
      </w:pPr>
      <w:bookmarkStart w:id="13" w:name="_Toc510785413"/>
      <w:bookmarkStart w:id="14" w:name="_Toc131084388"/>
      <w:commentRangeStart w:id="15"/>
      <w:r w:rsidRPr="00115061">
        <w:rPr>
          <w:lang w:val="en-GB"/>
        </w:rPr>
        <w:t>2. Analysis of Country Context</w:t>
      </w:r>
      <w:bookmarkEnd w:id="13"/>
      <w:bookmarkEnd w:id="14"/>
      <w:r w:rsidRPr="00115061">
        <w:rPr>
          <w:lang w:val="en-GB"/>
        </w:rPr>
        <w:t xml:space="preserve"> </w:t>
      </w:r>
      <w:commentRangeEnd w:id="15"/>
      <w:r w:rsidR="00877164">
        <w:rPr>
          <w:rStyle w:val="CommentReference"/>
          <w:rFonts w:eastAsiaTheme="minorEastAsia" w:cstheme="minorBidi"/>
          <w:bCs w:val="0"/>
        </w:rPr>
        <w:commentReference w:id="15"/>
      </w:r>
    </w:p>
    <w:p w14:paraId="0C74BA7E" w14:textId="094CAA7E" w:rsidR="00027E4F" w:rsidRDefault="00027E4F" w:rsidP="00027E4F">
      <w:pPr>
        <w:pStyle w:val="Heading2"/>
        <w:rPr>
          <w:lang w:val="en-GB"/>
        </w:rPr>
      </w:pPr>
      <w:bookmarkStart w:id="16" w:name="_Toc131084389"/>
      <w:commentRangeStart w:id="17"/>
      <w:r w:rsidRPr="00115061">
        <w:rPr>
          <w:lang w:val="en-GB"/>
        </w:rPr>
        <w:t>2.1. Political, economic and geostrategic situation of the country</w:t>
      </w:r>
      <w:commentRangeEnd w:id="17"/>
      <w:r w:rsidR="00741465">
        <w:rPr>
          <w:rStyle w:val="CommentReference"/>
          <w:rFonts w:eastAsiaTheme="minorEastAsia" w:cstheme="minorBidi"/>
          <w:bCs w:val="0"/>
        </w:rPr>
        <w:commentReference w:id="17"/>
      </w:r>
      <w:bookmarkEnd w:id="16"/>
    </w:p>
    <w:p w14:paraId="5D356CAD" w14:textId="4EEAED52" w:rsidR="00741465" w:rsidRPr="00741465" w:rsidRDefault="00741465" w:rsidP="00741465">
      <w:pPr>
        <w:rPr>
          <w:lang w:val="en-GB"/>
        </w:rPr>
      </w:pPr>
      <w:r>
        <w:rPr>
          <w:lang w:val="en-GB"/>
        </w:rPr>
        <w:t xml:space="preserve">… </w:t>
      </w:r>
    </w:p>
    <w:p w14:paraId="0C74BA82" w14:textId="49325A17" w:rsidR="00C20A58" w:rsidRDefault="001F7796" w:rsidP="00C20A58">
      <w:pPr>
        <w:pStyle w:val="Heading2"/>
        <w:rPr>
          <w:lang w:val="en-GB"/>
        </w:rPr>
      </w:pPr>
      <w:bookmarkStart w:id="18" w:name="_Toc131084390"/>
      <w:r w:rsidRPr="00115061">
        <w:rPr>
          <w:lang w:val="en-GB"/>
        </w:rPr>
        <w:t>2.2. The Public Procurement System and its links with the public finance management and public governance systems</w:t>
      </w:r>
      <w:bookmarkEnd w:id="18"/>
    </w:p>
    <w:p w14:paraId="2BB6FB59" w14:textId="421FF542" w:rsidR="00741465" w:rsidRPr="00741465" w:rsidRDefault="00741465" w:rsidP="00741465">
      <w:pPr>
        <w:rPr>
          <w:lang w:val="en-GB"/>
        </w:rPr>
      </w:pPr>
      <w:commentRangeStart w:id="19"/>
      <w:r>
        <w:rPr>
          <w:lang w:val="en-GB"/>
        </w:rPr>
        <w:t xml:space="preserve">… </w:t>
      </w:r>
      <w:commentRangeEnd w:id="19"/>
      <w:r>
        <w:rPr>
          <w:rStyle w:val="CommentReference"/>
        </w:rPr>
        <w:commentReference w:id="19"/>
      </w:r>
    </w:p>
    <w:p w14:paraId="0C74BA86" w14:textId="77777777" w:rsidR="001F7796" w:rsidRPr="00115061" w:rsidRDefault="00F15119" w:rsidP="00F15119">
      <w:pPr>
        <w:pStyle w:val="Heading2"/>
        <w:rPr>
          <w:lang w:val="en-GB"/>
        </w:rPr>
      </w:pPr>
      <w:bookmarkStart w:id="20" w:name="_Toc131084391"/>
      <w:r w:rsidRPr="00115061">
        <w:rPr>
          <w:lang w:val="en-GB"/>
        </w:rPr>
        <w:t>2.3. National policy objectives and sustainable development goals</w:t>
      </w:r>
      <w:bookmarkEnd w:id="20"/>
    </w:p>
    <w:p w14:paraId="717B48F4" w14:textId="11BD8AE1" w:rsidR="00741465" w:rsidRDefault="00741465" w:rsidP="00741465">
      <w:pPr>
        <w:rPr>
          <w:lang w:val="en-GB"/>
        </w:rPr>
      </w:pPr>
      <w:commentRangeStart w:id="21"/>
      <w:r>
        <w:rPr>
          <w:lang w:val="en-GB"/>
        </w:rPr>
        <w:t xml:space="preserve">… </w:t>
      </w:r>
      <w:commentRangeEnd w:id="21"/>
      <w:r>
        <w:rPr>
          <w:rStyle w:val="CommentReference"/>
        </w:rPr>
        <w:commentReference w:id="21"/>
      </w:r>
    </w:p>
    <w:p w14:paraId="0C74BA89" w14:textId="2C051D79" w:rsidR="00F15119" w:rsidRDefault="00FB1A47" w:rsidP="00FB1A47">
      <w:pPr>
        <w:pStyle w:val="Heading2"/>
        <w:rPr>
          <w:lang w:val="en-GB"/>
        </w:rPr>
      </w:pPr>
      <w:bookmarkStart w:id="22" w:name="_Toc131084392"/>
      <w:r w:rsidRPr="00115061">
        <w:rPr>
          <w:lang w:val="en-GB"/>
        </w:rPr>
        <w:t>2.4. Public Procurement Reform</w:t>
      </w:r>
      <w:bookmarkEnd w:id="22"/>
    </w:p>
    <w:p w14:paraId="5B486B9E" w14:textId="40A54E55" w:rsidR="00741465" w:rsidRPr="00741465" w:rsidRDefault="00741465" w:rsidP="00741465">
      <w:pPr>
        <w:rPr>
          <w:lang w:val="en-GB"/>
        </w:rPr>
      </w:pPr>
      <w:commentRangeStart w:id="23"/>
      <w:r>
        <w:rPr>
          <w:lang w:val="en-GB"/>
        </w:rPr>
        <w:t xml:space="preserve">… </w:t>
      </w:r>
      <w:commentRangeEnd w:id="23"/>
      <w:r>
        <w:rPr>
          <w:rStyle w:val="CommentReference"/>
        </w:rPr>
        <w:commentReference w:id="23"/>
      </w:r>
    </w:p>
    <w:p w14:paraId="0C74BA8E" w14:textId="77777777" w:rsidR="0053036B" w:rsidRPr="00115061" w:rsidRDefault="0053036B" w:rsidP="007E3641">
      <w:pPr>
        <w:pStyle w:val="Heading1"/>
        <w:rPr>
          <w:lang w:val="en-GB"/>
        </w:rPr>
      </w:pPr>
      <w:bookmarkStart w:id="24" w:name="_Toc131084393"/>
      <w:r w:rsidRPr="00115061">
        <w:rPr>
          <w:lang w:val="en-GB"/>
        </w:rPr>
        <w:lastRenderedPageBreak/>
        <w:t>3. Assessment</w:t>
      </w:r>
      <w:bookmarkEnd w:id="24"/>
    </w:p>
    <w:p w14:paraId="0C74BA90" w14:textId="77777777" w:rsidR="007E3641" w:rsidRPr="00115061" w:rsidRDefault="007E3641" w:rsidP="007E3641">
      <w:pPr>
        <w:pStyle w:val="Heading2"/>
        <w:rPr>
          <w:lang w:val="en-GB"/>
        </w:rPr>
      </w:pPr>
      <w:bookmarkStart w:id="25" w:name="_Toc131084394"/>
      <w:r w:rsidRPr="00115061">
        <w:rPr>
          <w:lang w:val="en-GB"/>
        </w:rPr>
        <w:t>3.1. Pillar I - Legal, Regulatory and Policy Framework</w:t>
      </w:r>
      <w:bookmarkEnd w:id="25"/>
    </w:p>
    <w:p w14:paraId="199D5557" w14:textId="77777777" w:rsidR="00C22BEF" w:rsidRPr="00D635C7" w:rsidRDefault="00C22BEF" w:rsidP="00C22BEF">
      <w:pPr>
        <w:rPr>
          <w:rFonts w:cstheme="minorHAnsi"/>
          <w:lang w:val="en-GB"/>
        </w:rPr>
      </w:pPr>
      <w:r w:rsidRPr="00D635C7">
        <w:rPr>
          <w:rFonts w:cstheme="minorHAnsi"/>
          <w:lang w:val="en-GB"/>
        </w:rPr>
        <w:t>The MAPS core methodology, Pillar I, assesses the existing legal, regulatory and policy framework for public procurement. It evaluates the adequacy of the structure of the legal framework, its clarity, and the precedence of the different instruments to minimize inconsistencies in application. Pillar I comprises three indicators and a total of eighteen sub-indicators.</w:t>
      </w:r>
    </w:p>
    <w:p w14:paraId="43DFA739" w14:textId="77777777" w:rsidR="00C22BEF" w:rsidRPr="00D635C7" w:rsidRDefault="00C22BEF" w:rsidP="00C22BEF">
      <w:pPr>
        <w:rPr>
          <w:rFonts w:cstheme="minorHAnsi"/>
          <w:lang w:val="en-GB"/>
        </w:rPr>
      </w:pPr>
      <w:r w:rsidRPr="00D635C7">
        <w:rPr>
          <w:rFonts w:cstheme="minorHAnsi"/>
          <w:lang w:val="en-GB"/>
        </w:rPr>
        <w:t xml:space="preserve">This assessment of professionalisation reviews (1) whether the existing legal framework includes adequate and clear provisions to effectively support the public procurement professionalisation; and (2) whether implementing regulations and tools supplement the legal framework and supports public procurement professionalisation. </w:t>
      </w:r>
    </w:p>
    <w:p w14:paraId="0C74BA93" w14:textId="4FECC1B5" w:rsidR="007E3641" w:rsidRPr="00115061" w:rsidRDefault="00C22BEF" w:rsidP="005D34E5">
      <w:pPr>
        <w:pStyle w:val="Heading3"/>
        <w:jc w:val="both"/>
        <w:rPr>
          <w:lang w:val="en-GB"/>
        </w:rPr>
      </w:pPr>
      <w:bookmarkStart w:id="26" w:name="_Toc131084395"/>
      <w:r>
        <w:rPr>
          <w:lang w:val="en-GB"/>
        </w:rPr>
        <w:t>Prof-I</w:t>
      </w:r>
      <w:r w:rsidR="00EB26B2" w:rsidRPr="00115061">
        <w:rPr>
          <w:lang w:val="en-GB"/>
        </w:rPr>
        <w:t xml:space="preserve">ndicator 1. </w:t>
      </w:r>
      <w:r w:rsidR="007E3641" w:rsidRPr="00115061">
        <w:rPr>
          <w:lang w:val="en-GB"/>
        </w:rPr>
        <w:t>The</w:t>
      </w:r>
      <w:r w:rsidR="001116FA">
        <w:rPr>
          <w:lang w:val="en-GB"/>
        </w:rPr>
        <w:t xml:space="preserve"> legal framework includes appropriate regulations on public procurement professionalisation</w:t>
      </w:r>
      <w:bookmarkEnd w:id="26"/>
    </w:p>
    <w:p w14:paraId="0CBE4667" w14:textId="77777777" w:rsidR="00C22BEF" w:rsidRPr="00D635C7" w:rsidRDefault="00C22BEF" w:rsidP="00C22BEF">
      <w:pPr>
        <w:rPr>
          <w:rFonts w:cstheme="minorHAnsi"/>
          <w:lang w:val="en-GB"/>
        </w:rPr>
      </w:pPr>
      <w:r w:rsidRPr="00D635C7">
        <w:rPr>
          <w:rFonts w:cstheme="minorHAnsi"/>
          <w:lang w:val="en-GB"/>
        </w:rPr>
        <w:t xml:space="preserve">The indicator covers how the different legal and regulatory instruments regulate the professionalisation of public procurement. </w:t>
      </w:r>
    </w:p>
    <w:p w14:paraId="2CD5B975" w14:textId="7E050001" w:rsidR="00C22BEF" w:rsidRPr="00C22BEF" w:rsidRDefault="00C22BEF" w:rsidP="007E3641">
      <w:pPr>
        <w:rPr>
          <w:rFonts w:cstheme="minorHAnsi"/>
          <w:lang w:val="en-GB"/>
        </w:rPr>
      </w:pPr>
      <w:r w:rsidRPr="00D635C7">
        <w:rPr>
          <w:rFonts w:cstheme="minorHAnsi"/>
          <w:lang w:val="en-GB"/>
        </w:rPr>
        <w:t>To provide stability to professionalisation at the level of the legal framework, it is important that regulations clearly define professionalisation as a strategic objective in the public procurement system. Being an area in which a balanced participation of public and private sectors is essential (including the normative/regulatory function, public and private academic institutions, professional associations, content and training providers, certification bodies, among others), the legal framework should include references to such participation, or at least not contain provisions that may result in restriction of private sector participation.</w:t>
      </w:r>
    </w:p>
    <w:p w14:paraId="3C60B3E8" w14:textId="38578AC6" w:rsidR="008C7EFB" w:rsidRPr="00803C52" w:rsidRDefault="008F0BD6" w:rsidP="000D0570">
      <w:pPr>
        <w:pStyle w:val="ListParagraph"/>
        <w:numPr>
          <w:ilvl w:val="0"/>
          <w:numId w:val="2"/>
        </w:numPr>
        <w:rPr>
          <w:b/>
          <w:color w:val="auto"/>
          <w:lang w:val="en-GB"/>
        </w:rPr>
      </w:pPr>
      <w:commentRangeStart w:id="27"/>
      <w:r w:rsidRPr="00803C52">
        <w:rPr>
          <w:b/>
          <w:color w:val="auto"/>
          <w:lang w:val="en-GB"/>
        </w:rPr>
        <w:t>S</w:t>
      </w:r>
      <w:r w:rsidR="008C7EFB" w:rsidRPr="00803C52">
        <w:rPr>
          <w:b/>
          <w:color w:val="auto"/>
          <w:lang w:val="en-GB"/>
        </w:rPr>
        <w:t>ynthesis of the indicator</w:t>
      </w:r>
      <w:commentRangeEnd w:id="27"/>
      <w:r w:rsidRPr="00803C52">
        <w:rPr>
          <w:rStyle w:val="CommentReference"/>
          <w:color w:val="auto"/>
        </w:rPr>
        <w:commentReference w:id="27"/>
      </w:r>
    </w:p>
    <w:p w14:paraId="5238278F" w14:textId="0AC13A09" w:rsidR="000021D6" w:rsidRPr="00803C52" w:rsidRDefault="000021D6" w:rsidP="000021D6">
      <w:pPr>
        <w:ind w:left="360"/>
        <w:rPr>
          <w:b/>
          <w:color w:val="auto"/>
          <w:lang w:val="en-GB"/>
        </w:rPr>
      </w:pPr>
      <w:r w:rsidRPr="00803C52">
        <w:rPr>
          <w:b/>
          <w:color w:val="auto"/>
          <w:lang w:val="en-GB"/>
        </w:rPr>
        <w:t>…</w:t>
      </w:r>
    </w:p>
    <w:p w14:paraId="0C74BA95" w14:textId="77777777" w:rsidR="007E3641" w:rsidRPr="00803C52" w:rsidRDefault="007E3641" w:rsidP="00B94877">
      <w:pPr>
        <w:pStyle w:val="ListParagraph"/>
        <w:numPr>
          <w:ilvl w:val="0"/>
          <w:numId w:val="2"/>
        </w:numPr>
        <w:rPr>
          <w:b/>
          <w:color w:val="auto"/>
          <w:lang w:val="en-GB"/>
        </w:rPr>
      </w:pPr>
      <w:commentRangeStart w:id="28"/>
      <w:r w:rsidRPr="00803C52">
        <w:rPr>
          <w:b/>
          <w:color w:val="auto"/>
          <w:lang w:val="en-GB"/>
        </w:rPr>
        <w:t>Findings</w:t>
      </w:r>
      <w:commentRangeEnd w:id="28"/>
      <w:r w:rsidR="00FF0AB0" w:rsidRPr="00803C52">
        <w:rPr>
          <w:rStyle w:val="CommentReference"/>
          <w:color w:val="auto"/>
        </w:rPr>
        <w:commentReference w:id="28"/>
      </w:r>
    </w:p>
    <w:p w14:paraId="0C74BA96" w14:textId="77777777" w:rsidR="007E3641" w:rsidRPr="00803C52" w:rsidRDefault="007E3641" w:rsidP="00B94877">
      <w:pPr>
        <w:ind w:firstLine="360"/>
        <w:rPr>
          <w:color w:val="auto"/>
          <w:lang w:val="en-GB"/>
        </w:rPr>
      </w:pPr>
      <w:r w:rsidRPr="00803C52">
        <w:rPr>
          <w:color w:val="auto"/>
          <w:lang w:val="en-GB"/>
        </w:rPr>
        <w:t>…</w:t>
      </w:r>
    </w:p>
    <w:p w14:paraId="0C74BA97" w14:textId="5C91A1DF" w:rsidR="007E3641" w:rsidRPr="00803C52" w:rsidRDefault="00FF0AB0" w:rsidP="00B94877">
      <w:pPr>
        <w:pStyle w:val="ListParagraph"/>
        <w:numPr>
          <w:ilvl w:val="0"/>
          <w:numId w:val="2"/>
        </w:numPr>
        <w:rPr>
          <w:b/>
          <w:color w:val="auto"/>
          <w:lang w:val="en-GB"/>
        </w:rPr>
      </w:pPr>
      <w:commentRangeStart w:id="29"/>
      <w:r w:rsidRPr="00803C52">
        <w:rPr>
          <w:b/>
          <w:color w:val="auto"/>
          <w:lang w:val="en-GB"/>
        </w:rPr>
        <w:t>Gaps</w:t>
      </w:r>
      <w:r w:rsidR="007E3641" w:rsidRPr="00803C52">
        <w:rPr>
          <w:b/>
          <w:color w:val="auto"/>
          <w:lang w:val="en-GB"/>
        </w:rPr>
        <w:t xml:space="preserve"> </w:t>
      </w:r>
      <w:commentRangeEnd w:id="29"/>
      <w:r w:rsidRPr="00803C52">
        <w:rPr>
          <w:rStyle w:val="CommentReference"/>
          <w:color w:val="auto"/>
        </w:rPr>
        <w:commentReference w:id="29"/>
      </w:r>
    </w:p>
    <w:p w14:paraId="0C74BA98" w14:textId="77777777" w:rsidR="007E3641" w:rsidRPr="00803C52" w:rsidRDefault="007E3641" w:rsidP="00B94877">
      <w:pPr>
        <w:ind w:firstLine="360"/>
        <w:rPr>
          <w:color w:val="auto"/>
          <w:lang w:val="en-GB"/>
        </w:rPr>
      </w:pPr>
      <w:r w:rsidRPr="00803C52">
        <w:rPr>
          <w:color w:val="auto"/>
          <w:lang w:val="en-GB"/>
        </w:rPr>
        <w:t>…</w:t>
      </w:r>
    </w:p>
    <w:p w14:paraId="0C74BA99" w14:textId="77777777" w:rsidR="007E3641" w:rsidRPr="00803C52" w:rsidRDefault="007E3641" w:rsidP="00B94877">
      <w:pPr>
        <w:pStyle w:val="ListParagraph"/>
        <w:numPr>
          <w:ilvl w:val="0"/>
          <w:numId w:val="2"/>
        </w:numPr>
        <w:rPr>
          <w:b/>
          <w:color w:val="auto"/>
          <w:lang w:val="en-GB"/>
        </w:rPr>
      </w:pPr>
      <w:commentRangeStart w:id="30"/>
      <w:r w:rsidRPr="00803C52">
        <w:rPr>
          <w:b/>
          <w:color w:val="auto"/>
          <w:lang w:val="en-GB"/>
        </w:rPr>
        <w:t>Recommendations</w:t>
      </w:r>
      <w:commentRangeEnd w:id="30"/>
      <w:r w:rsidR="00FD2CC0" w:rsidRPr="00803C52">
        <w:rPr>
          <w:rStyle w:val="CommentReference"/>
          <w:color w:val="auto"/>
        </w:rPr>
        <w:commentReference w:id="30"/>
      </w:r>
    </w:p>
    <w:p w14:paraId="0C74BA9A" w14:textId="77777777" w:rsidR="007E3641" w:rsidRPr="00803C52" w:rsidRDefault="007E3641" w:rsidP="00B94877">
      <w:pPr>
        <w:ind w:firstLine="360"/>
        <w:rPr>
          <w:color w:val="auto"/>
          <w:lang w:val="en-GB"/>
        </w:rPr>
      </w:pPr>
      <w:r w:rsidRPr="00803C52">
        <w:rPr>
          <w:color w:val="auto"/>
          <w:lang w:val="en-GB"/>
        </w:rPr>
        <w:t>…</w:t>
      </w:r>
    </w:p>
    <w:p w14:paraId="0C74BA9B" w14:textId="688E7DA6" w:rsidR="007E3641" w:rsidRPr="00803C52" w:rsidRDefault="007E3641" w:rsidP="007E3641">
      <w:pPr>
        <w:rPr>
          <w:color w:val="auto"/>
          <w:lang w:val="en-GB"/>
        </w:rPr>
      </w:pPr>
    </w:p>
    <w:p w14:paraId="3D773F04" w14:textId="2869450B" w:rsidR="001E3E64" w:rsidRPr="00803C52" w:rsidRDefault="001E3E64" w:rsidP="007E3641">
      <w:pPr>
        <w:rPr>
          <w:b/>
          <w:bCs/>
          <w:color w:val="auto"/>
          <w:lang w:val="en-GB"/>
        </w:rPr>
      </w:pPr>
      <w:r w:rsidRPr="00803C52">
        <w:rPr>
          <w:b/>
          <w:bCs/>
          <w:color w:val="auto"/>
          <w:lang w:val="en-GB"/>
        </w:rPr>
        <w:t>Summary of substanti</w:t>
      </w:r>
      <w:r w:rsidR="0003157F" w:rsidRPr="00803C52">
        <w:rPr>
          <w:b/>
          <w:bCs/>
          <w:color w:val="auto"/>
          <w:lang w:val="en-GB"/>
        </w:rPr>
        <w:t>ve</w:t>
      </w:r>
      <w:r w:rsidRPr="00803C52">
        <w:rPr>
          <w:b/>
          <w:bCs/>
          <w:color w:val="auto"/>
          <w:lang w:val="en-GB"/>
        </w:rPr>
        <w:t xml:space="preserve"> gaps and recommendations of </w:t>
      </w:r>
      <w:r w:rsidR="00C22BEF">
        <w:rPr>
          <w:b/>
          <w:bCs/>
          <w:color w:val="auto"/>
          <w:lang w:val="en-GB"/>
        </w:rPr>
        <w:t>Prof-</w:t>
      </w:r>
      <w:r w:rsidRPr="00803C52">
        <w:rPr>
          <w:b/>
          <w:bCs/>
          <w:color w:val="auto"/>
          <w:lang w:val="en-GB"/>
        </w:rPr>
        <w:t>Indicator 1</w:t>
      </w:r>
    </w:p>
    <w:tbl>
      <w:tblPr>
        <w:tblStyle w:val="TableGrid"/>
        <w:tblW w:w="0" w:type="auto"/>
        <w:tblLook w:val="04A0" w:firstRow="1" w:lastRow="0" w:firstColumn="1" w:lastColumn="0" w:noHBand="0" w:noVBand="1"/>
      </w:tblPr>
      <w:tblGrid>
        <w:gridCol w:w="3116"/>
        <w:gridCol w:w="3117"/>
        <w:gridCol w:w="3117"/>
      </w:tblGrid>
      <w:tr w:rsidR="00803C52" w:rsidRPr="00803C52" w14:paraId="0F2674FA" w14:textId="77777777" w:rsidTr="007201AB">
        <w:tc>
          <w:tcPr>
            <w:tcW w:w="3116" w:type="dxa"/>
            <w:shd w:val="clear" w:color="auto" w:fill="DADADA" w:themeFill="background2" w:themeFillShade="E6"/>
          </w:tcPr>
          <w:p w14:paraId="1C70D8B8" w14:textId="6A458C2A" w:rsidR="009653B6" w:rsidRPr="00803C52" w:rsidRDefault="009653B6" w:rsidP="007E3641">
            <w:pPr>
              <w:rPr>
                <w:b/>
                <w:bCs/>
                <w:color w:val="auto"/>
                <w:lang w:val="en-GB"/>
              </w:rPr>
            </w:pPr>
            <w:commentRangeStart w:id="31"/>
            <w:r w:rsidRPr="00803C52">
              <w:rPr>
                <w:b/>
                <w:bCs/>
                <w:color w:val="auto"/>
                <w:lang w:val="en-GB"/>
              </w:rPr>
              <w:t>Substanti</w:t>
            </w:r>
            <w:r w:rsidR="0003157F" w:rsidRPr="00803C52">
              <w:rPr>
                <w:b/>
                <w:bCs/>
                <w:color w:val="auto"/>
                <w:lang w:val="en-GB"/>
              </w:rPr>
              <w:t>ve</w:t>
            </w:r>
            <w:r w:rsidRPr="00803C52">
              <w:rPr>
                <w:b/>
                <w:bCs/>
                <w:color w:val="auto"/>
                <w:lang w:val="en-GB"/>
              </w:rPr>
              <w:t xml:space="preserve"> gap</w:t>
            </w:r>
            <w:commentRangeEnd w:id="31"/>
            <w:r w:rsidR="003F7914" w:rsidRPr="00803C52">
              <w:rPr>
                <w:rStyle w:val="CommentReference"/>
                <w:color w:val="auto"/>
              </w:rPr>
              <w:commentReference w:id="31"/>
            </w:r>
          </w:p>
        </w:tc>
        <w:tc>
          <w:tcPr>
            <w:tcW w:w="3117" w:type="dxa"/>
            <w:shd w:val="clear" w:color="auto" w:fill="DADADA" w:themeFill="background2" w:themeFillShade="E6"/>
          </w:tcPr>
          <w:p w14:paraId="3036BBC6" w14:textId="3E85BE31" w:rsidR="009653B6" w:rsidRPr="00803C52" w:rsidRDefault="009653B6" w:rsidP="007E3641">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3ECE65DC" w14:textId="532D4A70" w:rsidR="009653B6" w:rsidRPr="00803C52" w:rsidRDefault="009653B6" w:rsidP="007E3641">
            <w:pPr>
              <w:rPr>
                <w:b/>
                <w:bCs/>
                <w:color w:val="auto"/>
                <w:lang w:val="en-GB"/>
              </w:rPr>
            </w:pPr>
            <w:r w:rsidRPr="00803C52">
              <w:rPr>
                <w:b/>
                <w:bCs/>
                <w:color w:val="auto"/>
                <w:lang w:val="en-GB"/>
              </w:rPr>
              <w:t>Recommendations</w:t>
            </w:r>
          </w:p>
        </w:tc>
      </w:tr>
      <w:tr w:rsidR="00803C52" w:rsidRPr="00803C52" w14:paraId="3BA6B901" w14:textId="77777777" w:rsidTr="009653B6">
        <w:tc>
          <w:tcPr>
            <w:tcW w:w="3116" w:type="dxa"/>
          </w:tcPr>
          <w:p w14:paraId="51625C4F" w14:textId="77777777" w:rsidR="009653B6" w:rsidRPr="00803C52" w:rsidRDefault="009653B6" w:rsidP="007E3641">
            <w:pPr>
              <w:rPr>
                <w:color w:val="auto"/>
                <w:lang w:val="en-GB"/>
              </w:rPr>
            </w:pPr>
          </w:p>
        </w:tc>
        <w:tc>
          <w:tcPr>
            <w:tcW w:w="3117" w:type="dxa"/>
          </w:tcPr>
          <w:p w14:paraId="457C1319" w14:textId="77777777" w:rsidR="009653B6" w:rsidRPr="00803C52" w:rsidRDefault="009653B6" w:rsidP="007E3641">
            <w:pPr>
              <w:rPr>
                <w:color w:val="auto"/>
                <w:lang w:val="en-GB"/>
              </w:rPr>
            </w:pPr>
          </w:p>
        </w:tc>
        <w:tc>
          <w:tcPr>
            <w:tcW w:w="3117" w:type="dxa"/>
          </w:tcPr>
          <w:p w14:paraId="43F57C1A" w14:textId="77777777" w:rsidR="009653B6" w:rsidRPr="00803C52" w:rsidRDefault="009653B6" w:rsidP="007E3641">
            <w:pPr>
              <w:rPr>
                <w:color w:val="auto"/>
                <w:lang w:val="en-GB"/>
              </w:rPr>
            </w:pPr>
          </w:p>
        </w:tc>
      </w:tr>
      <w:tr w:rsidR="00803C52" w:rsidRPr="00803C52" w14:paraId="039D5E44" w14:textId="77777777" w:rsidTr="009653B6">
        <w:tc>
          <w:tcPr>
            <w:tcW w:w="3116" w:type="dxa"/>
          </w:tcPr>
          <w:p w14:paraId="061420C0" w14:textId="77777777" w:rsidR="009653B6" w:rsidRPr="00803C52" w:rsidRDefault="009653B6" w:rsidP="007E3641">
            <w:pPr>
              <w:rPr>
                <w:color w:val="auto"/>
                <w:lang w:val="en-GB"/>
              </w:rPr>
            </w:pPr>
          </w:p>
        </w:tc>
        <w:tc>
          <w:tcPr>
            <w:tcW w:w="3117" w:type="dxa"/>
          </w:tcPr>
          <w:p w14:paraId="4D3920DE" w14:textId="77777777" w:rsidR="009653B6" w:rsidRPr="00803C52" w:rsidRDefault="009653B6" w:rsidP="007E3641">
            <w:pPr>
              <w:rPr>
                <w:color w:val="auto"/>
                <w:lang w:val="en-GB"/>
              </w:rPr>
            </w:pPr>
          </w:p>
        </w:tc>
        <w:tc>
          <w:tcPr>
            <w:tcW w:w="3117" w:type="dxa"/>
          </w:tcPr>
          <w:p w14:paraId="23AECA8E" w14:textId="77777777" w:rsidR="009653B6" w:rsidRPr="00803C52" w:rsidRDefault="009653B6" w:rsidP="007E3641">
            <w:pPr>
              <w:rPr>
                <w:color w:val="auto"/>
                <w:lang w:val="en-GB"/>
              </w:rPr>
            </w:pPr>
          </w:p>
        </w:tc>
      </w:tr>
      <w:tr w:rsidR="00803C52" w:rsidRPr="00803C52" w14:paraId="784C2EA9" w14:textId="77777777" w:rsidTr="009653B6">
        <w:tc>
          <w:tcPr>
            <w:tcW w:w="3116" w:type="dxa"/>
          </w:tcPr>
          <w:p w14:paraId="4735FE6A" w14:textId="77777777" w:rsidR="009653B6" w:rsidRPr="00803C52" w:rsidRDefault="009653B6" w:rsidP="007E3641">
            <w:pPr>
              <w:rPr>
                <w:color w:val="auto"/>
                <w:lang w:val="en-GB"/>
              </w:rPr>
            </w:pPr>
          </w:p>
        </w:tc>
        <w:tc>
          <w:tcPr>
            <w:tcW w:w="3117" w:type="dxa"/>
          </w:tcPr>
          <w:p w14:paraId="7D6E0CAF" w14:textId="77777777" w:rsidR="009653B6" w:rsidRPr="00803C52" w:rsidRDefault="009653B6" w:rsidP="007E3641">
            <w:pPr>
              <w:rPr>
                <w:color w:val="auto"/>
                <w:lang w:val="en-GB"/>
              </w:rPr>
            </w:pPr>
          </w:p>
        </w:tc>
        <w:tc>
          <w:tcPr>
            <w:tcW w:w="3117" w:type="dxa"/>
          </w:tcPr>
          <w:p w14:paraId="01E99029" w14:textId="77777777" w:rsidR="009653B6" w:rsidRPr="00803C52" w:rsidRDefault="009653B6" w:rsidP="007E3641">
            <w:pPr>
              <w:rPr>
                <w:color w:val="auto"/>
                <w:lang w:val="en-GB"/>
              </w:rPr>
            </w:pPr>
          </w:p>
        </w:tc>
      </w:tr>
      <w:tr w:rsidR="009653B6" w:rsidRPr="00803C52" w14:paraId="779D8E93" w14:textId="77777777" w:rsidTr="009653B6">
        <w:tc>
          <w:tcPr>
            <w:tcW w:w="3116" w:type="dxa"/>
          </w:tcPr>
          <w:p w14:paraId="1DA70B53" w14:textId="77777777" w:rsidR="009653B6" w:rsidRPr="00803C52" w:rsidRDefault="009653B6" w:rsidP="007E3641">
            <w:pPr>
              <w:rPr>
                <w:color w:val="auto"/>
                <w:lang w:val="en-GB"/>
              </w:rPr>
            </w:pPr>
          </w:p>
        </w:tc>
        <w:tc>
          <w:tcPr>
            <w:tcW w:w="3117" w:type="dxa"/>
          </w:tcPr>
          <w:p w14:paraId="2C6A385C" w14:textId="77777777" w:rsidR="009653B6" w:rsidRPr="00803C52" w:rsidRDefault="009653B6" w:rsidP="007E3641">
            <w:pPr>
              <w:rPr>
                <w:color w:val="auto"/>
                <w:lang w:val="en-GB"/>
              </w:rPr>
            </w:pPr>
          </w:p>
        </w:tc>
        <w:tc>
          <w:tcPr>
            <w:tcW w:w="3117" w:type="dxa"/>
          </w:tcPr>
          <w:p w14:paraId="0200E6A9" w14:textId="77777777" w:rsidR="009653B6" w:rsidRPr="00803C52" w:rsidRDefault="009653B6" w:rsidP="007E3641">
            <w:pPr>
              <w:rPr>
                <w:color w:val="auto"/>
                <w:lang w:val="en-GB"/>
              </w:rPr>
            </w:pPr>
          </w:p>
        </w:tc>
      </w:tr>
    </w:tbl>
    <w:p w14:paraId="005C2621" w14:textId="77777777" w:rsidR="001E3E64" w:rsidRPr="00803C52" w:rsidRDefault="001E3E64" w:rsidP="007E3641">
      <w:pPr>
        <w:rPr>
          <w:color w:val="auto"/>
          <w:lang w:val="en-GB"/>
        </w:rPr>
      </w:pPr>
    </w:p>
    <w:p w14:paraId="0C74BA9C" w14:textId="065A858A" w:rsidR="007E3641" w:rsidRPr="00115061" w:rsidRDefault="00C22BEF" w:rsidP="005D34E5">
      <w:pPr>
        <w:pStyle w:val="Heading3"/>
        <w:jc w:val="both"/>
        <w:rPr>
          <w:lang w:val="en-GB"/>
        </w:rPr>
      </w:pPr>
      <w:bookmarkStart w:id="32" w:name="_Toc131084396"/>
      <w:r>
        <w:rPr>
          <w:lang w:val="en-GB"/>
        </w:rPr>
        <w:t>Prof-</w:t>
      </w:r>
      <w:r w:rsidR="00EB26B2" w:rsidRPr="00115061">
        <w:rPr>
          <w:lang w:val="en-GB"/>
        </w:rPr>
        <w:t xml:space="preserve">Indicator 2. </w:t>
      </w:r>
      <w:r w:rsidR="007E3641" w:rsidRPr="00115061">
        <w:rPr>
          <w:lang w:val="en-GB"/>
        </w:rPr>
        <w:t xml:space="preserve">Implementing regulations and tools </w:t>
      </w:r>
      <w:r w:rsidR="001116FA">
        <w:rPr>
          <w:lang w:val="en-GB"/>
        </w:rPr>
        <w:t>to support public procurement professionalisation</w:t>
      </w:r>
      <w:bookmarkEnd w:id="32"/>
    </w:p>
    <w:p w14:paraId="2B5D6498" w14:textId="319C34D6" w:rsidR="001116FA" w:rsidRPr="00115061" w:rsidRDefault="001116FA" w:rsidP="001116FA">
      <w:pPr>
        <w:rPr>
          <w:lang w:val="en-GB"/>
        </w:rPr>
      </w:pPr>
      <w:r w:rsidRPr="00D635C7">
        <w:rPr>
          <w:rFonts w:cstheme="minorHAnsi"/>
          <w:lang w:val="en-GB"/>
        </w:rPr>
        <w:t>This indicator verifies that the implementing regulations and tools of the public procurement system include support for professionalisation, as well as the internal and external recognition of the importance of professionalisation in the performance of the national procurement system.</w:t>
      </w:r>
    </w:p>
    <w:p w14:paraId="13003390" w14:textId="09C6D35D" w:rsidR="00D47A0E" w:rsidRDefault="00D47A0E" w:rsidP="00B94877">
      <w:pPr>
        <w:pStyle w:val="ListParagraph"/>
        <w:rPr>
          <w:lang w:val="en-GB"/>
        </w:rPr>
      </w:pPr>
    </w:p>
    <w:p w14:paraId="3242EB0A"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4C3FA4EA" w14:textId="77777777" w:rsidR="00E24318" w:rsidRPr="00803C52" w:rsidRDefault="00E24318" w:rsidP="00E24318">
      <w:pPr>
        <w:ind w:left="360"/>
        <w:rPr>
          <w:b/>
          <w:color w:val="auto"/>
          <w:lang w:val="en-GB"/>
        </w:rPr>
      </w:pPr>
      <w:r w:rsidRPr="00803C52">
        <w:rPr>
          <w:b/>
          <w:color w:val="auto"/>
          <w:lang w:val="en-GB"/>
        </w:rPr>
        <w:t>…</w:t>
      </w:r>
    </w:p>
    <w:p w14:paraId="40A68D62"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508AC36A" w14:textId="77777777" w:rsidR="00E24318" w:rsidRPr="00803C52" w:rsidRDefault="00E24318" w:rsidP="00E24318">
      <w:pPr>
        <w:ind w:firstLine="360"/>
        <w:rPr>
          <w:color w:val="auto"/>
          <w:lang w:val="en-GB"/>
        </w:rPr>
      </w:pPr>
      <w:r w:rsidRPr="00803C52">
        <w:rPr>
          <w:color w:val="auto"/>
          <w:lang w:val="en-GB"/>
        </w:rPr>
        <w:t>…</w:t>
      </w:r>
    </w:p>
    <w:p w14:paraId="7677990A" w14:textId="25C0CAC3" w:rsidR="00E24318" w:rsidRPr="00803C52" w:rsidRDefault="00E24318" w:rsidP="00E24318">
      <w:pPr>
        <w:pStyle w:val="ListParagraph"/>
        <w:numPr>
          <w:ilvl w:val="0"/>
          <w:numId w:val="2"/>
        </w:numPr>
        <w:rPr>
          <w:b/>
          <w:color w:val="auto"/>
          <w:lang w:val="en-GB"/>
        </w:rPr>
      </w:pPr>
      <w:r w:rsidRPr="00803C52">
        <w:rPr>
          <w:b/>
          <w:color w:val="auto"/>
          <w:lang w:val="en-GB"/>
        </w:rPr>
        <w:t xml:space="preserve">Gaps </w:t>
      </w:r>
    </w:p>
    <w:p w14:paraId="6537052C" w14:textId="77777777" w:rsidR="00E24318" w:rsidRPr="00803C52" w:rsidRDefault="00E24318" w:rsidP="00E24318">
      <w:pPr>
        <w:ind w:firstLine="360"/>
        <w:rPr>
          <w:color w:val="auto"/>
          <w:lang w:val="en-GB"/>
        </w:rPr>
      </w:pPr>
      <w:r w:rsidRPr="00803C52">
        <w:rPr>
          <w:color w:val="auto"/>
          <w:lang w:val="en-GB"/>
        </w:rPr>
        <w:t>…</w:t>
      </w:r>
    </w:p>
    <w:p w14:paraId="0ACE6299"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2AA9337E" w14:textId="77777777" w:rsidR="00E24318" w:rsidRPr="00803C52" w:rsidRDefault="00E24318" w:rsidP="00E24318">
      <w:pPr>
        <w:ind w:firstLine="360"/>
        <w:rPr>
          <w:color w:val="auto"/>
          <w:lang w:val="en-GB"/>
        </w:rPr>
      </w:pPr>
      <w:r w:rsidRPr="00803C52">
        <w:rPr>
          <w:color w:val="auto"/>
          <w:lang w:val="en-GB"/>
        </w:rPr>
        <w:t>…</w:t>
      </w:r>
    </w:p>
    <w:p w14:paraId="38292D2F" w14:textId="77777777" w:rsidR="00E24318" w:rsidRPr="00803C52" w:rsidRDefault="00E24318" w:rsidP="00E24318">
      <w:pPr>
        <w:rPr>
          <w:color w:val="auto"/>
          <w:lang w:val="en-GB"/>
        </w:rPr>
      </w:pPr>
    </w:p>
    <w:p w14:paraId="1EB737B2" w14:textId="3752F381" w:rsidR="00E24318" w:rsidRPr="00803C52" w:rsidRDefault="00E24318" w:rsidP="00E24318">
      <w:pPr>
        <w:rPr>
          <w:b/>
          <w:bCs/>
          <w:color w:val="auto"/>
          <w:lang w:val="en-GB"/>
        </w:rPr>
      </w:pPr>
      <w:r w:rsidRPr="00803C52">
        <w:rPr>
          <w:b/>
          <w:bCs/>
          <w:color w:val="auto"/>
          <w:lang w:val="en-GB"/>
        </w:rPr>
        <w:t xml:space="preserve">Summary of substantive gaps and recommendations of </w:t>
      </w:r>
      <w:r w:rsidR="001116FA">
        <w:rPr>
          <w:b/>
          <w:bCs/>
          <w:color w:val="auto"/>
          <w:lang w:val="en-GB"/>
        </w:rPr>
        <w:t>Prof-</w:t>
      </w:r>
      <w:r w:rsidRPr="00803C52">
        <w:rPr>
          <w:b/>
          <w:bCs/>
          <w:color w:val="auto"/>
          <w:lang w:val="en-GB"/>
        </w:rPr>
        <w:t xml:space="preserve">Indicator </w:t>
      </w:r>
      <w:r w:rsidR="003D749C">
        <w:rPr>
          <w:b/>
          <w:bCs/>
          <w:color w:val="auto"/>
          <w:lang w:val="en-GB"/>
        </w:rPr>
        <w:t>2</w:t>
      </w:r>
    </w:p>
    <w:tbl>
      <w:tblPr>
        <w:tblStyle w:val="TableGrid"/>
        <w:tblW w:w="0" w:type="auto"/>
        <w:tblLook w:val="04A0" w:firstRow="1" w:lastRow="0" w:firstColumn="1" w:lastColumn="0" w:noHBand="0" w:noVBand="1"/>
      </w:tblPr>
      <w:tblGrid>
        <w:gridCol w:w="3116"/>
        <w:gridCol w:w="3117"/>
        <w:gridCol w:w="3117"/>
      </w:tblGrid>
      <w:tr w:rsidR="00E24318" w:rsidRPr="00803C52" w14:paraId="69F6ECD9" w14:textId="77777777" w:rsidTr="004A3EE9">
        <w:tc>
          <w:tcPr>
            <w:tcW w:w="3116" w:type="dxa"/>
            <w:shd w:val="clear" w:color="auto" w:fill="DADADA" w:themeFill="background2" w:themeFillShade="E6"/>
          </w:tcPr>
          <w:p w14:paraId="75E07669"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3F2B96AD"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0640407F"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628E292E" w14:textId="77777777" w:rsidTr="004A3EE9">
        <w:tc>
          <w:tcPr>
            <w:tcW w:w="3116" w:type="dxa"/>
          </w:tcPr>
          <w:p w14:paraId="40E9412F" w14:textId="77777777" w:rsidR="00E24318" w:rsidRPr="00803C52" w:rsidRDefault="00E24318" w:rsidP="004A3EE9">
            <w:pPr>
              <w:rPr>
                <w:color w:val="auto"/>
                <w:lang w:val="en-GB"/>
              </w:rPr>
            </w:pPr>
          </w:p>
        </w:tc>
        <w:tc>
          <w:tcPr>
            <w:tcW w:w="3117" w:type="dxa"/>
          </w:tcPr>
          <w:p w14:paraId="4F7687AF" w14:textId="77777777" w:rsidR="00E24318" w:rsidRPr="00803C52" w:rsidRDefault="00E24318" w:rsidP="004A3EE9">
            <w:pPr>
              <w:rPr>
                <w:color w:val="auto"/>
                <w:lang w:val="en-GB"/>
              </w:rPr>
            </w:pPr>
          </w:p>
        </w:tc>
        <w:tc>
          <w:tcPr>
            <w:tcW w:w="3117" w:type="dxa"/>
          </w:tcPr>
          <w:p w14:paraId="114015BA" w14:textId="77777777" w:rsidR="00E24318" w:rsidRPr="00803C52" w:rsidRDefault="00E24318" w:rsidP="004A3EE9">
            <w:pPr>
              <w:rPr>
                <w:color w:val="auto"/>
                <w:lang w:val="en-GB"/>
              </w:rPr>
            </w:pPr>
          </w:p>
        </w:tc>
      </w:tr>
      <w:tr w:rsidR="00E24318" w:rsidRPr="00803C52" w14:paraId="33C3BAFF" w14:textId="77777777" w:rsidTr="004A3EE9">
        <w:tc>
          <w:tcPr>
            <w:tcW w:w="3116" w:type="dxa"/>
          </w:tcPr>
          <w:p w14:paraId="02CEB4CA" w14:textId="77777777" w:rsidR="00E24318" w:rsidRPr="00803C52" w:rsidRDefault="00E24318" w:rsidP="004A3EE9">
            <w:pPr>
              <w:rPr>
                <w:color w:val="auto"/>
                <w:lang w:val="en-GB"/>
              </w:rPr>
            </w:pPr>
          </w:p>
        </w:tc>
        <w:tc>
          <w:tcPr>
            <w:tcW w:w="3117" w:type="dxa"/>
          </w:tcPr>
          <w:p w14:paraId="4EFA4C26" w14:textId="77777777" w:rsidR="00E24318" w:rsidRPr="00803C52" w:rsidRDefault="00E24318" w:rsidP="004A3EE9">
            <w:pPr>
              <w:rPr>
                <w:color w:val="auto"/>
                <w:lang w:val="en-GB"/>
              </w:rPr>
            </w:pPr>
          </w:p>
        </w:tc>
        <w:tc>
          <w:tcPr>
            <w:tcW w:w="3117" w:type="dxa"/>
          </w:tcPr>
          <w:p w14:paraId="7348326F" w14:textId="77777777" w:rsidR="00E24318" w:rsidRPr="00803C52" w:rsidRDefault="00E24318" w:rsidP="004A3EE9">
            <w:pPr>
              <w:rPr>
                <w:color w:val="auto"/>
                <w:lang w:val="en-GB"/>
              </w:rPr>
            </w:pPr>
          </w:p>
        </w:tc>
      </w:tr>
      <w:tr w:rsidR="00E24318" w:rsidRPr="00803C52" w14:paraId="1B200DD9" w14:textId="77777777" w:rsidTr="004A3EE9">
        <w:tc>
          <w:tcPr>
            <w:tcW w:w="3116" w:type="dxa"/>
          </w:tcPr>
          <w:p w14:paraId="76E9870D" w14:textId="77777777" w:rsidR="00E24318" w:rsidRPr="00803C52" w:rsidRDefault="00E24318" w:rsidP="004A3EE9">
            <w:pPr>
              <w:rPr>
                <w:color w:val="auto"/>
                <w:lang w:val="en-GB"/>
              </w:rPr>
            </w:pPr>
          </w:p>
        </w:tc>
        <w:tc>
          <w:tcPr>
            <w:tcW w:w="3117" w:type="dxa"/>
          </w:tcPr>
          <w:p w14:paraId="77EEE353" w14:textId="77777777" w:rsidR="00E24318" w:rsidRPr="00803C52" w:rsidRDefault="00E24318" w:rsidP="004A3EE9">
            <w:pPr>
              <w:rPr>
                <w:color w:val="auto"/>
                <w:lang w:val="en-GB"/>
              </w:rPr>
            </w:pPr>
          </w:p>
        </w:tc>
        <w:tc>
          <w:tcPr>
            <w:tcW w:w="3117" w:type="dxa"/>
          </w:tcPr>
          <w:p w14:paraId="2293CCAF" w14:textId="77777777" w:rsidR="00E24318" w:rsidRPr="00803C52" w:rsidRDefault="00E24318" w:rsidP="004A3EE9">
            <w:pPr>
              <w:rPr>
                <w:color w:val="auto"/>
                <w:lang w:val="en-GB"/>
              </w:rPr>
            </w:pPr>
          </w:p>
        </w:tc>
      </w:tr>
      <w:tr w:rsidR="00E24318" w:rsidRPr="00803C52" w14:paraId="3175C4EE" w14:textId="77777777" w:rsidTr="004A3EE9">
        <w:tc>
          <w:tcPr>
            <w:tcW w:w="3116" w:type="dxa"/>
          </w:tcPr>
          <w:p w14:paraId="37C0011E" w14:textId="77777777" w:rsidR="00E24318" w:rsidRPr="00803C52" w:rsidRDefault="00E24318" w:rsidP="004A3EE9">
            <w:pPr>
              <w:rPr>
                <w:color w:val="auto"/>
                <w:lang w:val="en-GB"/>
              </w:rPr>
            </w:pPr>
          </w:p>
        </w:tc>
        <w:tc>
          <w:tcPr>
            <w:tcW w:w="3117" w:type="dxa"/>
          </w:tcPr>
          <w:p w14:paraId="5BF7BA15" w14:textId="77777777" w:rsidR="00E24318" w:rsidRPr="00803C52" w:rsidRDefault="00E24318" w:rsidP="004A3EE9">
            <w:pPr>
              <w:rPr>
                <w:color w:val="auto"/>
                <w:lang w:val="en-GB"/>
              </w:rPr>
            </w:pPr>
          </w:p>
        </w:tc>
        <w:tc>
          <w:tcPr>
            <w:tcW w:w="3117" w:type="dxa"/>
          </w:tcPr>
          <w:p w14:paraId="49AA9DD5" w14:textId="77777777" w:rsidR="00E24318" w:rsidRPr="00803C52" w:rsidRDefault="00E24318" w:rsidP="004A3EE9">
            <w:pPr>
              <w:rPr>
                <w:color w:val="auto"/>
                <w:lang w:val="en-GB"/>
              </w:rPr>
            </w:pPr>
          </w:p>
        </w:tc>
      </w:tr>
    </w:tbl>
    <w:p w14:paraId="2BA7452B" w14:textId="77777777" w:rsidR="00D47A0E" w:rsidRPr="00115061" w:rsidRDefault="00D47A0E" w:rsidP="00B94877">
      <w:pPr>
        <w:pStyle w:val="ListParagraph"/>
        <w:rPr>
          <w:lang w:val="en-GB"/>
        </w:rPr>
      </w:pPr>
    </w:p>
    <w:p w14:paraId="0C74BAAC" w14:textId="77777777" w:rsidR="00230B55" w:rsidRPr="00115061" w:rsidRDefault="00230B55" w:rsidP="00230B55">
      <w:pPr>
        <w:pStyle w:val="Heading2"/>
        <w:rPr>
          <w:lang w:val="en-GB"/>
        </w:rPr>
      </w:pPr>
      <w:bookmarkStart w:id="33" w:name="_Toc131084397"/>
      <w:r w:rsidRPr="00115061">
        <w:rPr>
          <w:lang w:val="en-GB"/>
        </w:rPr>
        <w:t>3.2. Pillar II - Institutional Framework and Management Capacity</w:t>
      </w:r>
      <w:bookmarkEnd w:id="33"/>
      <w:r w:rsidRPr="00115061">
        <w:rPr>
          <w:lang w:val="en-GB"/>
        </w:rPr>
        <w:t xml:space="preserve"> </w:t>
      </w:r>
    </w:p>
    <w:p w14:paraId="2EA09648" w14:textId="77777777" w:rsidR="001116FA" w:rsidRPr="00D635C7" w:rsidRDefault="001116FA" w:rsidP="001116FA">
      <w:pPr>
        <w:rPr>
          <w:rFonts w:cstheme="minorHAnsi"/>
          <w:lang w:val="en-GB"/>
        </w:rPr>
      </w:pPr>
      <w:r w:rsidRPr="00D635C7">
        <w:rPr>
          <w:rFonts w:cstheme="minorHAnsi"/>
          <w:lang w:val="en-GB"/>
        </w:rPr>
        <w:t xml:space="preserve">The MAPS core methodology, Pillar II, assesses how the procurement system as defined by the legal and regulatory framework in a country is operating in practice through the institutions and management systems that are part of the overall public sector governance in the country. It comprises five indicators and a total of fourteen sub-indicators. </w:t>
      </w:r>
    </w:p>
    <w:p w14:paraId="61B21C13" w14:textId="77777777" w:rsidR="001116FA" w:rsidRPr="00D635C7" w:rsidRDefault="001116FA" w:rsidP="001116FA">
      <w:pPr>
        <w:rPr>
          <w:rFonts w:cstheme="minorHAnsi"/>
          <w:lang w:val="en-GB"/>
        </w:rPr>
      </w:pPr>
      <w:r w:rsidRPr="00D635C7">
        <w:rPr>
          <w:rFonts w:cstheme="minorHAnsi"/>
          <w:lang w:val="en-GB"/>
        </w:rPr>
        <w:lastRenderedPageBreak/>
        <w:t xml:space="preserve">This assessment of professionalisation reviews (1) the integration of professionalisation in the country’s public procurement system; (2) whether professionalisation policy is part of a well-articulated planning, monitoring, and evaluation environment; and (3) the use of sound principles and standards. </w:t>
      </w:r>
    </w:p>
    <w:p w14:paraId="0C74BAB0" w14:textId="3D6B60A4" w:rsidR="005D34E5" w:rsidRPr="00115061" w:rsidRDefault="001116FA" w:rsidP="005D34E5">
      <w:pPr>
        <w:pStyle w:val="Heading3"/>
        <w:jc w:val="both"/>
        <w:rPr>
          <w:lang w:val="en-GB"/>
        </w:rPr>
      </w:pPr>
      <w:bookmarkStart w:id="34" w:name="_Toc131084398"/>
      <w:r>
        <w:rPr>
          <w:lang w:val="en-GB"/>
        </w:rPr>
        <w:t>Prof-</w:t>
      </w:r>
      <w:r w:rsidR="00620EA8" w:rsidRPr="00115061">
        <w:rPr>
          <w:lang w:val="en-GB"/>
        </w:rPr>
        <w:t xml:space="preserve">Indicator </w:t>
      </w:r>
      <w:r>
        <w:rPr>
          <w:lang w:val="en-GB"/>
        </w:rPr>
        <w:t>3</w:t>
      </w:r>
      <w:r w:rsidR="00620EA8" w:rsidRPr="00115061">
        <w:rPr>
          <w:lang w:val="en-GB"/>
        </w:rPr>
        <w:t>.</w:t>
      </w:r>
      <w:r w:rsidR="009653B6">
        <w:rPr>
          <w:lang w:val="en-GB"/>
        </w:rPr>
        <w:t xml:space="preserve"> </w:t>
      </w:r>
      <w:r>
        <w:rPr>
          <w:lang w:val="en-GB"/>
        </w:rPr>
        <w:t>Professionalisation is a key component of the public procurement system</w:t>
      </w:r>
      <w:bookmarkEnd w:id="34"/>
    </w:p>
    <w:p w14:paraId="78A28CB3" w14:textId="7FC58325" w:rsidR="001116FA" w:rsidRPr="001116FA" w:rsidRDefault="001116FA" w:rsidP="005D34E5">
      <w:pPr>
        <w:rPr>
          <w:rFonts w:cstheme="minorHAnsi"/>
          <w:lang w:val="en-GB"/>
        </w:rPr>
      </w:pPr>
      <w:r w:rsidRPr="00D635C7">
        <w:rPr>
          <w:rFonts w:cstheme="minorHAnsi"/>
          <w:lang w:val="en-GB"/>
        </w:rPr>
        <w:t xml:space="preserve">This indicator assesses whether professionalisation is a key component of the public procurement system and how it interrelates with other elements of the system, evaluating the capacity of the procurement system to support the professionalisation and the latter to provide the expected benefits to the system. </w:t>
      </w:r>
    </w:p>
    <w:p w14:paraId="38684E98"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149BF14B" w14:textId="77777777" w:rsidR="00E24318" w:rsidRPr="00803C52" w:rsidRDefault="00E24318" w:rsidP="00E24318">
      <w:pPr>
        <w:ind w:left="360"/>
        <w:rPr>
          <w:b/>
          <w:color w:val="auto"/>
          <w:lang w:val="en-GB"/>
        </w:rPr>
      </w:pPr>
      <w:r w:rsidRPr="00803C52">
        <w:rPr>
          <w:b/>
          <w:color w:val="auto"/>
          <w:lang w:val="en-GB"/>
        </w:rPr>
        <w:t>…</w:t>
      </w:r>
    </w:p>
    <w:p w14:paraId="3D847614"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1DB2C113" w14:textId="77777777" w:rsidR="00E24318" w:rsidRPr="00803C52" w:rsidRDefault="00E24318" w:rsidP="00E24318">
      <w:pPr>
        <w:ind w:firstLine="360"/>
        <w:rPr>
          <w:color w:val="auto"/>
          <w:lang w:val="en-GB"/>
        </w:rPr>
      </w:pPr>
      <w:r w:rsidRPr="00803C52">
        <w:rPr>
          <w:color w:val="auto"/>
          <w:lang w:val="en-GB"/>
        </w:rPr>
        <w:t>…</w:t>
      </w:r>
    </w:p>
    <w:p w14:paraId="6DA5A747" w14:textId="757AC519"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070F4389" w14:textId="77777777" w:rsidR="00E24318" w:rsidRPr="00803C52" w:rsidRDefault="00E24318" w:rsidP="00E24318">
      <w:pPr>
        <w:ind w:firstLine="360"/>
        <w:rPr>
          <w:color w:val="auto"/>
          <w:lang w:val="en-GB"/>
        </w:rPr>
      </w:pPr>
      <w:r w:rsidRPr="00803C52">
        <w:rPr>
          <w:color w:val="auto"/>
          <w:lang w:val="en-GB"/>
        </w:rPr>
        <w:t>…</w:t>
      </w:r>
    </w:p>
    <w:p w14:paraId="6F9E923E"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315D4C8F" w14:textId="77777777" w:rsidR="00E24318" w:rsidRPr="00803C52" w:rsidRDefault="00E24318" w:rsidP="00E24318">
      <w:pPr>
        <w:ind w:firstLine="360"/>
        <w:rPr>
          <w:color w:val="auto"/>
          <w:lang w:val="en-GB"/>
        </w:rPr>
      </w:pPr>
      <w:r w:rsidRPr="00803C52">
        <w:rPr>
          <w:color w:val="auto"/>
          <w:lang w:val="en-GB"/>
        </w:rPr>
        <w:t>…</w:t>
      </w:r>
    </w:p>
    <w:p w14:paraId="634EE37D" w14:textId="77777777" w:rsidR="00E24318" w:rsidRPr="00803C52" w:rsidRDefault="00E24318" w:rsidP="00E24318">
      <w:pPr>
        <w:rPr>
          <w:color w:val="auto"/>
          <w:lang w:val="en-GB"/>
        </w:rPr>
      </w:pPr>
    </w:p>
    <w:p w14:paraId="647A0E92" w14:textId="63F847AD" w:rsidR="00E24318" w:rsidRPr="00803C52" w:rsidRDefault="00E24318" w:rsidP="00E24318">
      <w:pPr>
        <w:rPr>
          <w:b/>
          <w:bCs/>
          <w:color w:val="auto"/>
          <w:lang w:val="en-GB"/>
        </w:rPr>
      </w:pPr>
      <w:r w:rsidRPr="00803C52">
        <w:rPr>
          <w:b/>
          <w:bCs/>
          <w:color w:val="auto"/>
          <w:lang w:val="en-GB"/>
        </w:rPr>
        <w:t xml:space="preserve">Summary of substantive gaps and recommendations of </w:t>
      </w:r>
      <w:r w:rsidR="00150F89">
        <w:rPr>
          <w:b/>
          <w:bCs/>
          <w:color w:val="auto"/>
          <w:lang w:val="en-GB"/>
        </w:rPr>
        <w:t>Prof-</w:t>
      </w:r>
      <w:r w:rsidRPr="00803C52">
        <w:rPr>
          <w:b/>
          <w:bCs/>
          <w:color w:val="auto"/>
          <w:lang w:val="en-GB"/>
        </w:rPr>
        <w:t xml:space="preserve">Indicator </w:t>
      </w:r>
      <w:r w:rsidR="00150F89">
        <w:rPr>
          <w:b/>
          <w:bCs/>
          <w:color w:val="auto"/>
          <w:lang w:val="en-GB"/>
        </w:rPr>
        <w:t>3</w:t>
      </w:r>
    </w:p>
    <w:tbl>
      <w:tblPr>
        <w:tblStyle w:val="TableGrid"/>
        <w:tblW w:w="0" w:type="auto"/>
        <w:tblLook w:val="04A0" w:firstRow="1" w:lastRow="0" w:firstColumn="1" w:lastColumn="0" w:noHBand="0" w:noVBand="1"/>
      </w:tblPr>
      <w:tblGrid>
        <w:gridCol w:w="3116"/>
        <w:gridCol w:w="3117"/>
        <w:gridCol w:w="3117"/>
      </w:tblGrid>
      <w:tr w:rsidR="00E24318" w:rsidRPr="00803C52" w14:paraId="38602363" w14:textId="77777777" w:rsidTr="004A3EE9">
        <w:tc>
          <w:tcPr>
            <w:tcW w:w="3116" w:type="dxa"/>
            <w:shd w:val="clear" w:color="auto" w:fill="DADADA" w:themeFill="background2" w:themeFillShade="E6"/>
          </w:tcPr>
          <w:p w14:paraId="398DE0EA"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12FA3DBD"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251F2F23"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0EA24C69" w14:textId="77777777" w:rsidTr="004A3EE9">
        <w:tc>
          <w:tcPr>
            <w:tcW w:w="3116" w:type="dxa"/>
          </w:tcPr>
          <w:p w14:paraId="5B3A665A" w14:textId="77777777" w:rsidR="00E24318" w:rsidRPr="00803C52" w:rsidRDefault="00E24318" w:rsidP="004A3EE9">
            <w:pPr>
              <w:rPr>
                <w:color w:val="auto"/>
                <w:lang w:val="en-GB"/>
              </w:rPr>
            </w:pPr>
          </w:p>
        </w:tc>
        <w:tc>
          <w:tcPr>
            <w:tcW w:w="3117" w:type="dxa"/>
          </w:tcPr>
          <w:p w14:paraId="6A757F48" w14:textId="77777777" w:rsidR="00E24318" w:rsidRPr="00803C52" w:rsidRDefault="00E24318" w:rsidP="004A3EE9">
            <w:pPr>
              <w:rPr>
                <w:color w:val="auto"/>
                <w:lang w:val="en-GB"/>
              </w:rPr>
            </w:pPr>
          </w:p>
        </w:tc>
        <w:tc>
          <w:tcPr>
            <w:tcW w:w="3117" w:type="dxa"/>
          </w:tcPr>
          <w:p w14:paraId="38A0DF46" w14:textId="77777777" w:rsidR="00E24318" w:rsidRPr="00803C52" w:rsidRDefault="00E24318" w:rsidP="004A3EE9">
            <w:pPr>
              <w:rPr>
                <w:color w:val="auto"/>
                <w:lang w:val="en-GB"/>
              </w:rPr>
            </w:pPr>
          </w:p>
        </w:tc>
      </w:tr>
      <w:tr w:rsidR="00E24318" w:rsidRPr="00803C52" w14:paraId="7E1620C3" w14:textId="77777777" w:rsidTr="004A3EE9">
        <w:tc>
          <w:tcPr>
            <w:tcW w:w="3116" w:type="dxa"/>
          </w:tcPr>
          <w:p w14:paraId="035A12AB" w14:textId="77777777" w:rsidR="00E24318" w:rsidRPr="00803C52" w:rsidRDefault="00E24318" w:rsidP="004A3EE9">
            <w:pPr>
              <w:rPr>
                <w:color w:val="auto"/>
                <w:lang w:val="en-GB"/>
              </w:rPr>
            </w:pPr>
          </w:p>
        </w:tc>
        <w:tc>
          <w:tcPr>
            <w:tcW w:w="3117" w:type="dxa"/>
          </w:tcPr>
          <w:p w14:paraId="318AD847" w14:textId="77777777" w:rsidR="00E24318" w:rsidRPr="00803C52" w:rsidRDefault="00E24318" w:rsidP="004A3EE9">
            <w:pPr>
              <w:rPr>
                <w:color w:val="auto"/>
                <w:lang w:val="en-GB"/>
              </w:rPr>
            </w:pPr>
          </w:p>
        </w:tc>
        <w:tc>
          <w:tcPr>
            <w:tcW w:w="3117" w:type="dxa"/>
          </w:tcPr>
          <w:p w14:paraId="3697F170" w14:textId="77777777" w:rsidR="00E24318" w:rsidRPr="00803C52" w:rsidRDefault="00E24318" w:rsidP="004A3EE9">
            <w:pPr>
              <w:rPr>
                <w:color w:val="auto"/>
                <w:lang w:val="en-GB"/>
              </w:rPr>
            </w:pPr>
          </w:p>
        </w:tc>
      </w:tr>
      <w:tr w:rsidR="00E24318" w:rsidRPr="00803C52" w14:paraId="2E711B1D" w14:textId="77777777" w:rsidTr="004A3EE9">
        <w:tc>
          <w:tcPr>
            <w:tcW w:w="3116" w:type="dxa"/>
          </w:tcPr>
          <w:p w14:paraId="31F3D931" w14:textId="77777777" w:rsidR="00E24318" w:rsidRPr="00803C52" w:rsidRDefault="00E24318" w:rsidP="004A3EE9">
            <w:pPr>
              <w:rPr>
                <w:color w:val="auto"/>
                <w:lang w:val="en-GB"/>
              </w:rPr>
            </w:pPr>
          </w:p>
        </w:tc>
        <w:tc>
          <w:tcPr>
            <w:tcW w:w="3117" w:type="dxa"/>
          </w:tcPr>
          <w:p w14:paraId="72E00C7B" w14:textId="77777777" w:rsidR="00E24318" w:rsidRPr="00803C52" w:rsidRDefault="00E24318" w:rsidP="004A3EE9">
            <w:pPr>
              <w:rPr>
                <w:color w:val="auto"/>
                <w:lang w:val="en-GB"/>
              </w:rPr>
            </w:pPr>
          </w:p>
        </w:tc>
        <w:tc>
          <w:tcPr>
            <w:tcW w:w="3117" w:type="dxa"/>
          </w:tcPr>
          <w:p w14:paraId="184BC92A" w14:textId="77777777" w:rsidR="00E24318" w:rsidRPr="00803C52" w:rsidRDefault="00E24318" w:rsidP="004A3EE9">
            <w:pPr>
              <w:rPr>
                <w:color w:val="auto"/>
                <w:lang w:val="en-GB"/>
              </w:rPr>
            </w:pPr>
          </w:p>
        </w:tc>
      </w:tr>
      <w:tr w:rsidR="00E24318" w:rsidRPr="00803C52" w14:paraId="0C9F7A50" w14:textId="77777777" w:rsidTr="004A3EE9">
        <w:tc>
          <w:tcPr>
            <w:tcW w:w="3116" w:type="dxa"/>
          </w:tcPr>
          <w:p w14:paraId="4429EC9E" w14:textId="77777777" w:rsidR="00E24318" w:rsidRPr="00803C52" w:rsidRDefault="00E24318" w:rsidP="004A3EE9">
            <w:pPr>
              <w:rPr>
                <w:color w:val="auto"/>
                <w:lang w:val="en-GB"/>
              </w:rPr>
            </w:pPr>
          </w:p>
        </w:tc>
        <w:tc>
          <w:tcPr>
            <w:tcW w:w="3117" w:type="dxa"/>
          </w:tcPr>
          <w:p w14:paraId="1767555F" w14:textId="77777777" w:rsidR="00E24318" w:rsidRPr="00803C52" w:rsidRDefault="00E24318" w:rsidP="004A3EE9">
            <w:pPr>
              <w:rPr>
                <w:color w:val="auto"/>
                <w:lang w:val="en-GB"/>
              </w:rPr>
            </w:pPr>
          </w:p>
        </w:tc>
        <w:tc>
          <w:tcPr>
            <w:tcW w:w="3117" w:type="dxa"/>
          </w:tcPr>
          <w:p w14:paraId="7242ED88" w14:textId="77777777" w:rsidR="00E24318" w:rsidRPr="00803C52" w:rsidRDefault="00E24318" w:rsidP="004A3EE9">
            <w:pPr>
              <w:rPr>
                <w:color w:val="auto"/>
                <w:lang w:val="en-GB"/>
              </w:rPr>
            </w:pPr>
          </w:p>
        </w:tc>
      </w:tr>
    </w:tbl>
    <w:p w14:paraId="0C74BAB7" w14:textId="22307795" w:rsidR="00230B55" w:rsidRPr="00115061" w:rsidRDefault="00230B55" w:rsidP="00E24318">
      <w:pPr>
        <w:rPr>
          <w:lang w:val="en-GB"/>
        </w:rPr>
      </w:pPr>
    </w:p>
    <w:p w14:paraId="0C74BAB8" w14:textId="7E7FD93E" w:rsidR="005D34E5" w:rsidRPr="00115061" w:rsidRDefault="001116FA" w:rsidP="005D34E5">
      <w:pPr>
        <w:pStyle w:val="Heading3"/>
        <w:jc w:val="both"/>
        <w:rPr>
          <w:lang w:val="en-GB"/>
        </w:rPr>
      </w:pPr>
      <w:bookmarkStart w:id="35" w:name="_Toc131084399"/>
      <w:r>
        <w:rPr>
          <w:lang w:val="en-GB"/>
        </w:rPr>
        <w:t>Prof-</w:t>
      </w:r>
      <w:r w:rsidR="00620EA8" w:rsidRPr="00115061">
        <w:rPr>
          <w:lang w:val="en-GB"/>
        </w:rPr>
        <w:t xml:space="preserve">Indicator </w:t>
      </w:r>
      <w:r>
        <w:rPr>
          <w:lang w:val="en-GB"/>
        </w:rPr>
        <w:t>4</w:t>
      </w:r>
      <w:r w:rsidR="00620EA8" w:rsidRPr="00115061">
        <w:rPr>
          <w:lang w:val="en-GB"/>
        </w:rPr>
        <w:t>.</w:t>
      </w:r>
      <w:r w:rsidR="009653B6">
        <w:rPr>
          <w:lang w:val="en-GB"/>
        </w:rPr>
        <w:t xml:space="preserve"> </w:t>
      </w:r>
      <w:r>
        <w:rPr>
          <w:lang w:val="en-GB"/>
        </w:rPr>
        <w:t>Professionalisation takes place in an environment of planning, monitoring and evaluation</w:t>
      </w:r>
      <w:bookmarkEnd w:id="35"/>
    </w:p>
    <w:p w14:paraId="441EEEA9" w14:textId="093068FC" w:rsidR="001E1EA6" w:rsidRPr="00115061" w:rsidRDefault="001E1EA6" w:rsidP="007672E6">
      <w:pPr>
        <w:rPr>
          <w:lang w:val="en-GB"/>
        </w:rPr>
      </w:pPr>
      <w:r>
        <w:rPr>
          <w:color w:val="3B3B3B"/>
        </w:rPr>
        <w:t>This indicator assesses whether the legal and regulatory framework clearly and adequately specifies the institutions in charge of sustainable public procurement and it reviews their responsibilities, funding arrangements and staffing.</w:t>
      </w:r>
    </w:p>
    <w:p w14:paraId="36203CCF"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0DC9AF50" w14:textId="77777777" w:rsidR="00E24318" w:rsidRPr="00803C52" w:rsidRDefault="00E24318" w:rsidP="00E24318">
      <w:pPr>
        <w:ind w:left="360"/>
        <w:rPr>
          <w:b/>
          <w:color w:val="auto"/>
          <w:lang w:val="en-GB"/>
        </w:rPr>
      </w:pPr>
      <w:r w:rsidRPr="00803C52">
        <w:rPr>
          <w:b/>
          <w:color w:val="auto"/>
          <w:lang w:val="en-GB"/>
        </w:rPr>
        <w:t>…</w:t>
      </w:r>
    </w:p>
    <w:p w14:paraId="0D5748F0"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6895CD7E" w14:textId="77777777" w:rsidR="00E24318" w:rsidRPr="00803C52" w:rsidRDefault="00E24318" w:rsidP="00E24318">
      <w:pPr>
        <w:ind w:firstLine="360"/>
        <w:rPr>
          <w:color w:val="auto"/>
          <w:lang w:val="en-GB"/>
        </w:rPr>
      </w:pPr>
      <w:r w:rsidRPr="00803C52">
        <w:rPr>
          <w:color w:val="auto"/>
          <w:lang w:val="en-GB"/>
        </w:rPr>
        <w:t>…</w:t>
      </w:r>
    </w:p>
    <w:p w14:paraId="55F93E5A" w14:textId="487990F9" w:rsidR="00E24318" w:rsidRPr="00803C52" w:rsidRDefault="000B10EE" w:rsidP="00E24318">
      <w:pPr>
        <w:pStyle w:val="ListParagraph"/>
        <w:numPr>
          <w:ilvl w:val="0"/>
          <w:numId w:val="2"/>
        </w:numPr>
        <w:rPr>
          <w:b/>
          <w:color w:val="auto"/>
          <w:lang w:val="en-GB"/>
        </w:rPr>
      </w:pPr>
      <w:r>
        <w:rPr>
          <w:b/>
          <w:color w:val="auto"/>
          <w:lang w:val="en-GB"/>
        </w:rPr>
        <w:lastRenderedPageBreak/>
        <w:t xml:space="preserve">Gaps </w:t>
      </w:r>
    </w:p>
    <w:p w14:paraId="55D9EBE5" w14:textId="77777777" w:rsidR="00E24318" w:rsidRPr="00803C52" w:rsidRDefault="00E24318" w:rsidP="00E24318">
      <w:pPr>
        <w:ind w:firstLine="360"/>
        <w:rPr>
          <w:color w:val="auto"/>
          <w:lang w:val="en-GB"/>
        </w:rPr>
      </w:pPr>
      <w:r w:rsidRPr="00803C52">
        <w:rPr>
          <w:color w:val="auto"/>
          <w:lang w:val="en-GB"/>
        </w:rPr>
        <w:t>…</w:t>
      </w:r>
    </w:p>
    <w:p w14:paraId="243B8AEE"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1B4DA507" w14:textId="77777777" w:rsidR="00E24318" w:rsidRPr="00803C52" w:rsidRDefault="00E24318" w:rsidP="00E24318">
      <w:pPr>
        <w:ind w:firstLine="360"/>
        <w:rPr>
          <w:color w:val="auto"/>
          <w:lang w:val="en-GB"/>
        </w:rPr>
      </w:pPr>
      <w:r w:rsidRPr="00803C52">
        <w:rPr>
          <w:color w:val="auto"/>
          <w:lang w:val="en-GB"/>
        </w:rPr>
        <w:t>…</w:t>
      </w:r>
    </w:p>
    <w:p w14:paraId="0CC0CBD9" w14:textId="77777777" w:rsidR="00E24318" w:rsidRPr="00803C52" w:rsidRDefault="00E24318" w:rsidP="00E24318">
      <w:pPr>
        <w:rPr>
          <w:color w:val="auto"/>
          <w:lang w:val="en-GB"/>
        </w:rPr>
      </w:pPr>
    </w:p>
    <w:p w14:paraId="5B58F030" w14:textId="5240A879" w:rsidR="00E24318" w:rsidRPr="00803C52" w:rsidRDefault="00E24318" w:rsidP="00E24318">
      <w:pPr>
        <w:rPr>
          <w:b/>
          <w:bCs/>
          <w:color w:val="auto"/>
          <w:lang w:val="en-GB"/>
        </w:rPr>
      </w:pPr>
      <w:r w:rsidRPr="00803C52">
        <w:rPr>
          <w:b/>
          <w:bCs/>
          <w:color w:val="auto"/>
          <w:lang w:val="en-GB"/>
        </w:rPr>
        <w:t>Summary of substantive gaps and recommendations of</w:t>
      </w:r>
      <w:r w:rsidR="001E1EA6">
        <w:rPr>
          <w:b/>
          <w:bCs/>
          <w:color w:val="auto"/>
          <w:lang w:val="en-GB"/>
        </w:rPr>
        <w:t xml:space="preserve"> </w:t>
      </w:r>
      <w:r w:rsidR="00150F89">
        <w:rPr>
          <w:b/>
          <w:bCs/>
          <w:color w:val="auto"/>
          <w:lang w:val="en-GB"/>
        </w:rPr>
        <w:t>Prof-</w:t>
      </w:r>
      <w:r w:rsidRPr="00803C52">
        <w:rPr>
          <w:b/>
          <w:bCs/>
          <w:color w:val="auto"/>
          <w:lang w:val="en-GB"/>
        </w:rPr>
        <w:t xml:space="preserve">Indicator </w:t>
      </w:r>
      <w:r w:rsidR="00150F89">
        <w:rPr>
          <w:b/>
          <w:bCs/>
          <w:color w:val="auto"/>
          <w:lang w:val="en-GB"/>
        </w:rPr>
        <w:t>4</w:t>
      </w:r>
    </w:p>
    <w:tbl>
      <w:tblPr>
        <w:tblStyle w:val="TableGrid"/>
        <w:tblW w:w="0" w:type="auto"/>
        <w:tblLook w:val="04A0" w:firstRow="1" w:lastRow="0" w:firstColumn="1" w:lastColumn="0" w:noHBand="0" w:noVBand="1"/>
      </w:tblPr>
      <w:tblGrid>
        <w:gridCol w:w="3116"/>
        <w:gridCol w:w="3117"/>
        <w:gridCol w:w="3117"/>
      </w:tblGrid>
      <w:tr w:rsidR="00E24318" w:rsidRPr="00803C52" w14:paraId="032CD2E2" w14:textId="77777777" w:rsidTr="004A3EE9">
        <w:tc>
          <w:tcPr>
            <w:tcW w:w="3116" w:type="dxa"/>
            <w:shd w:val="clear" w:color="auto" w:fill="DADADA" w:themeFill="background2" w:themeFillShade="E6"/>
          </w:tcPr>
          <w:p w14:paraId="7E034FA7"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6013C149"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70EB0507"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0D7E4CD5" w14:textId="77777777" w:rsidTr="004A3EE9">
        <w:tc>
          <w:tcPr>
            <w:tcW w:w="3116" w:type="dxa"/>
          </w:tcPr>
          <w:p w14:paraId="69A2ECF5" w14:textId="77777777" w:rsidR="00E24318" w:rsidRPr="00803C52" w:rsidRDefault="00E24318" w:rsidP="004A3EE9">
            <w:pPr>
              <w:rPr>
                <w:color w:val="auto"/>
                <w:lang w:val="en-GB"/>
              </w:rPr>
            </w:pPr>
          </w:p>
        </w:tc>
        <w:tc>
          <w:tcPr>
            <w:tcW w:w="3117" w:type="dxa"/>
          </w:tcPr>
          <w:p w14:paraId="2A697070" w14:textId="77777777" w:rsidR="00E24318" w:rsidRPr="00803C52" w:rsidRDefault="00E24318" w:rsidP="004A3EE9">
            <w:pPr>
              <w:rPr>
                <w:color w:val="auto"/>
                <w:lang w:val="en-GB"/>
              </w:rPr>
            </w:pPr>
          </w:p>
        </w:tc>
        <w:tc>
          <w:tcPr>
            <w:tcW w:w="3117" w:type="dxa"/>
          </w:tcPr>
          <w:p w14:paraId="2A0B45B7" w14:textId="77777777" w:rsidR="00E24318" w:rsidRPr="00803C52" w:rsidRDefault="00E24318" w:rsidP="004A3EE9">
            <w:pPr>
              <w:rPr>
                <w:color w:val="auto"/>
                <w:lang w:val="en-GB"/>
              </w:rPr>
            </w:pPr>
          </w:p>
        </w:tc>
      </w:tr>
      <w:tr w:rsidR="00E24318" w:rsidRPr="00803C52" w14:paraId="1CE5CEFC" w14:textId="77777777" w:rsidTr="004A3EE9">
        <w:tc>
          <w:tcPr>
            <w:tcW w:w="3116" w:type="dxa"/>
          </w:tcPr>
          <w:p w14:paraId="41564891" w14:textId="77777777" w:rsidR="00E24318" w:rsidRPr="00803C52" w:rsidRDefault="00E24318" w:rsidP="004A3EE9">
            <w:pPr>
              <w:rPr>
                <w:color w:val="auto"/>
                <w:lang w:val="en-GB"/>
              </w:rPr>
            </w:pPr>
          </w:p>
        </w:tc>
        <w:tc>
          <w:tcPr>
            <w:tcW w:w="3117" w:type="dxa"/>
          </w:tcPr>
          <w:p w14:paraId="262ABD91" w14:textId="77777777" w:rsidR="00E24318" w:rsidRPr="00803C52" w:rsidRDefault="00E24318" w:rsidP="004A3EE9">
            <w:pPr>
              <w:rPr>
                <w:color w:val="auto"/>
                <w:lang w:val="en-GB"/>
              </w:rPr>
            </w:pPr>
          </w:p>
        </w:tc>
        <w:tc>
          <w:tcPr>
            <w:tcW w:w="3117" w:type="dxa"/>
          </w:tcPr>
          <w:p w14:paraId="50B723D0" w14:textId="77777777" w:rsidR="00E24318" w:rsidRPr="00803C52" w:rsidRDefault="00E24318" w:rsidP="004A3EE9">
            <w:pPr>
              <w:rPr>
                <w:color w:val="auto"/>
                <w:lang w:val="en-GB"/>
              </w:rPr>
            </w:pPr>
          </w:p>
        </w:tc>
      </w:tr>
      <w:tr w:rsidR="00E24318" w:rsidRPr="00803C52" w14:paraId="7AE1334C" w14:textId="77777777" w:rsidTr="004A3EE9">
        <w:tc>
          <w:tcPr>
            <w:tcW w:w="3116" w:type="dxa"/>
          </w:tcPr>
          <w:p w14:paraId="37426D05" w14:textId="77777777" w:rsidR="00E24318" w:rsidRPr="00803C52" w:rsidRDefault="00E24318" w:rsidP="004A3EE9">
            <w:pPr>
              <w:rPr>
                <w:color w:val="auto"/>
                <w:lang w:val="en-GB"/>
              </w:rPr>
            </w:pPr>
          </w:p>
        </w:tc>
        <w:tc>
          <w:tcPr>
            <w:tcW w:w="3117" w:type="dxa"/>
          </w:tcPr>
          <w:p w14:paraId="0A5D19A2" w14:textId="77777777" w:rsidR="00E24318" w:rsidRPr="00803C52" w:rsidRDefault="00E24318" w:rsidP="004A3EE9">
            <w:pPr>
              <w:rPr>
                <w:color w:val="auto"/>
                <w:lang w:val="en-GB"/>
              </w:rPr>
            </w:pPr>
          </w:p>
        </w:tc>
        <w:tc>
          <w:tcPr>
            <w:tcW w:w="3117" w:type="dxa"/>
          </w:tcPr>
          <w:p w14:paraId="30AD13E6" w14:textId="77777777" w:rsidR="00E24318" w:rsidRPr="00803C52" w:rsidRDefault="00E24318" w:rsidP="004A3EE9">
            <w:pPr>
              <w:rPr>
                <w:color w:val="auto"/>
                <w:lang w:val="en-GB"/>
              </w:rPr>
            </w:pPr>
          </w:p>
        </w:tc>
      </w:tr>
      <w:tr w:rsidR="00E24318" w:rsidRPr="00803C52" w14:paraId="60D79AD8" w14:textId="77777777" w:rsidTr="004A3EE9">
        <w:tc>
          <w:tcPr>
            <w:tcW w:w="3116" w:type="dxa"/>
          </w:tcPr>
          <w:p w14:paraId="2C79D529" w14:textId="77777777" w:rsidR="00E24318" w:rsidRPr="00803C52" w:rsidRDefault="00E24318" w:rsidP="004A3EE9">
            <w:pPr>
              <w:rPr>
                <w:color w:val="auto"/>
                <w:lang w:val="en-GB"/>
              </w:rPr>
            </w:pPr>
          </w:p>
        </w:tc>
        <w:tc>
          <w:tcPr>
            <w:tcW w:w="3117" w:type="dxa"/>
          </w:tcPr>
          <w:p w14:paraId="58F344C2" w14:textId="77777777" w:rsidR="00E24318" w:rsidRPr="00803C52" w:rsidRDefault="00E24318" w:rsidP="004A3EE9">
            <w:pPr>
              <w:rPr>
                <w:color w:val="auto"/>
                <w:lang w:val="en-GB"/>
              </w:rPr>
            </w:pPr>
          </w:p>
        </w:tc>
        <w:tc>
          <w:tcPr>
            <w:tcW w:w="3117" w:type="dxa"/>
          </w:tcPr>
          <w:p w14:paraId="07A1AF88" w14:textId="77777777" w:rsidR="00E24318" w:rsidRPr="00803C52" w:rsidRDefault="00E24318" w:rsidP="004A3EE9">
            <w:pPr>
              <w:rPr>
                <w:color w:val="auto"/>
                <w:lang w:val="en-GB"/>
              </w:rPr>
            </w:pPr>
          </w:p>
        </w:tc>
      </w:tr>
    </w:tbl>
    <w:p w14:paraId="0C74BAC0" w14:textId="34FE2484" w:rsidR="007672E6" w:rsidRPr="00115061" w:rsidRDefault="00150F89" w:rsidP="007672E6">
      <w:pPr>
        <w:pStyle w:val="Heading3"/>
        <w:rPr>
          <w:lang w:val="en-GB"/>
        </w:rPr>
      </w:pPr>
      <w:bookmarkStart w:id="36" w:name="_Toc131084400"/>
      <w:r>
        <w:rPr>
          <w:lang w:val="en-GB"/>
        </w:rPr>
        <w:t>Prof-</w:t>
      </w:r>
      <w:r w:rsidR="00620EA8" w:rsidRPr="00115061">
        <w:rPr>
          <w:lang w:val="en-GB"/>
        </w:rPr>
        <w:t xml:space="preserve">Indicator </w:t>
      </w:r>
      <w:r>
        <w:rPr>
          <w:lang w:val="en-GB"/>
        </w:rPr>
        <w:t>5</w:t>
      </w:r>
      <w:r w:rsidR="00620EA8" w:rsidRPr="00115061">
        <w:rPr>
          <w:lang w:val="en-GB"/>
        </w:rPr>
        <w:t>.</w:t>
      </w:r>
      <w:r w:rsidR="009653B6">
        <w:rPr>
          <w:lang w:val="en-GB"/>
        </w:rPr>
        <w:t xml:space="preserve"> </w:t>
      </w:r>
      <w:r>
        <w:rPr>
          <w:lang w:val="en-GB"/>
        </w:rPr>
        <w:t>Professionalisation is based on sound principles and standards</w:t>
      </w:r>
      <w:bookmarkEnd w:id="36"/>
    </w:p>
    <w:p w14:paraId="400D6FF8" w14:textId="3FCD8C1D" w:rsidR="00150F89" w:rsidRPr="00150F89" w:rsidRDefault="00150F89" w:rsidP="007672E6">
      <w:pPr>
        <w:rPr>
          <w:rFonts w:cstheme="minorHAnsi"/>
          <w:lang w:val="en-GB"/>
        </w:rPr>
      </w:pPr>
      <w:r w:rsidRPr="00D635C7">
        <w:rPr>
          <w:rFonts w:cstheme="minorHAnsi"/>
          <w:lang w:val="en-GB"/>
        </w:rPr>
        <w:t xml:space="preserve">This indicator refers to the use of sound principles and standards in the professionalisation policy. </w:t>
      </w:r>
    </w:p>
    <w:p w14:paraId="6B730915"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373062ED" w14:textId="77777777" w:rsidR="00E24318" w:rsidRPr="00803C52" w:rsidRDefault="00E24318" w:rsidP="00E24318">
      <w:pPr>
        <w:ind w:left="360"/>
        <w:rPr>
          <w:b/>
          <w:color w:val="auto"/>
          <w:lang w:val="en-GB"/>
        </w:rPr>
      </w:pPr>
      <w:r w:rsidRPr="00803C52">
        <w:rPr>
          <w:b/>
          <w:color w:val="auto"/>
          <w:lang w:val="en-GB"/>
        </w:rPr>
        <w:t>…</w:t>
      </w:r>
    </w:p>
    <w:p w14:paraId="564FE5CE"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522FE328" w14:textId="77777777" w:rsidR="00E24318" w:rsidRPr="00803C52" w:rsidRDefault="00E24318" w:rsidP="00E24318">
      <w:pPr>
        <w:ind w:firstLine="360"/>
        <w:rPr>
          <w:color w:val="auto"/>
          <w:lang w:val="en-GB"/>
        </w:rPr>
      </w:pPr>
      <w:r w:rsidRPr="00803C52">
        <w:rPr>
          <w:color w:val="auto"/>
          <w:lang w:val="en-GB"/>
        </w:rPr>
        <w:t>…</w:t>
      </w:r>
    </w:p>
    <w:p w14:paraId="122A4EC6" w14:textId="05DC77F3"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7C1CC237" w14:textId="77777777" w:rsidR="00E24318" w:rsidRPr="00803C52" w:rsidRDefault="00E24318" w:rsidP="00E24318">
      <w:pPr>
        <w:ind w:firstLine="360"/>
        <w:rPr>
          <w:color w:val="auto"/>
          <w:lang w:val="en-GB"/>
        </w:rPr>
      </w:pPr>
      <w:r w:rsidRPr="00803C52">
        <w:rPr>
          <w:color w:val="auto"/>
          <w:lang w:val="en-GB"/>
        </w:rPr>
        <w:t>…</w:t>
      </w:r>
    </w:p>
    <w:p w14:paraId="7653B256"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03ED7EEA" w14:textId="77777777" w:rsidR="00E24318" w:rsidRPr="00803C52" w:rsidRDefault="00E24318" w:rsidP="00E24318">
      <w:pPr>
        <w:ind w:firstLine="360"/>
        <w:rPr>
          <w:color w:val="auto"/>
          <w:lang w:val="en-GB"/>
        </w:rPr>
      </w:pPr>
      <w:r w:rsidRPr="00803C52">
        <w:rPr>
          <w:color w:val="auto"/>
          <w:lang w:val="en-GB"/>
        </w:rPr>
        <w:t>…</w:t>
      </w:r>
    </w:p>
    <w:p w14:paraId="492A7940" w14:textId="77777777" w:rsidR="00E24318" w:rsidRPr="00803C52" w:rsidRDefault="00E24318" w:rsidP="00E24318">
      <w:pPr>
        <w:rPr>
          <w:color w:val="auto"/>
          <w:lang w:val="en-GB"/>
        </w:rPr>
      </w:pPr>
    </w:p>
    <w:p w14:paraId="7D7A6676" w14:textId="4FC72311" w:rsidR="00E24318" w:rsidRPr="00803C52" w:rsidRDefault="00E24318" w:rsidP="00E24318">
      <w:pPr>
        <w:rPr>
          <w:b/>
          <w:bCs/>
          <w:color w:val="auto"/>
          <w:lang w:val="en-GB"/>
        </w:rPr>
      </w:pPr>
      <w:r w:rsidRPr="00803C52">
        <w:rPr>
          <w:b/>
          <w:bCs/>
          <w:color w:val="auto"/>
          <w:lang w:val="en-GB"/>
        </w:rPr>
        <w:t>Summary of substantive gaps and recommendations of</w:t>
      </w:r>
      <w:r w:rsidR="001E1EA6">
        <w:rPr>
          <w:b/>
          <w:bCs/>
          <w:color w:val="auto"/>
          <w:lang w:val="en-GB"/>
        </w:rPr>
        <w:t xml:space="preserve"> </w:t>
      </w:r>
      <w:r w:rsidR="00150F89">
        <w:rPr>
          <w:b/>
          <w:bCs/>
          <w:color w:val="auto"/>
          <w:lang w:val="en-GB"/>
        </w:rPr>
        <w:t>Prof-</w:t>
      </w:r>
      <w:r w:rsidRPr="00803C52">
        <w:rPr>
          <w:b/>
          <w:bCs/>
          <w:color w:val="auto"/>
          <w:lang w:val="en-GB"/>
        </w:rPr>
        <w:t xml:space="preserve">Indicator </w:t>
      </w:r>
      <w:r w:rsidR="00150F89">
        <w:rPr>
          <w:b/>
          <w:bCs/>
          <w:color w:val="auto"/>
          <w:lang w:val="en-GB"/>
        </w:rPr>
        <w:t>5</w:t>
      </w:r>
    </w:p>
    <w:tbl>
      <w:tblPr>
        <w:tblStyle w:val="TableGrid"/>
        <w:tblW w:w="0" w:type="auto"/>
        <w:tblLook w:val="04A0" w:firstRow="1" w:lastRow="0" w:firstColumn="1" w:lastColumn="0" w:noHBand="0" w:noVBand="1"/>
      </w:tblPr>
      <w:tblGrid>
        <w:gridCol w:w="3116"/>
        <w:gridCol w:w="3117"/>
        <w:gridCol w:w="3117"/>
      </w:tblGrid>
      <w:tr w:rsidR="00E24318" w:rsidRPr="00803C52" w14:paraId="561F875C" w14:textId="77777777" w:rsidTr="004A3EE9">
        <w:tc>
          <w:tcPr>
            <w:tcW w:w="3116" w:type="dxa"/>
            <w:shd w:val="clear" w:color="auto" w:fill="DADADA" w:themeFill="background2" w:themeFillShade="E6"/>
          </w:tcPr>
          <w:p w14:paraId="5BB9B161"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7DD6C175"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32C8A2EF"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674E4CC5" w14:textId="77777777" w:rsidTr="004A3EE9">
        <w:tc>
          <w:tcPr>
            <w:tcW w:w="3116" w:type="dxa"/>
          </w:tcPr>
          <w:p w14:paraId="1298BAC7" w14:textId="77777777" w:rsidR="00E24318" w:rsidRPr="00803C52" w:rsidRDefault="00E24318" w:rsidP="004A3EE9">
            <w:pPr>
              <w:rPr>
                <w:color w:val="auto"/>
                <w:lang w:val="en-GB"/>
              </w:rPr>
            </w:pPr>
          </w:p>
        </w:tc>
        <w:tc>
          <w:tcPr>
            <w:tcW w:w="3117" w:type="dxa"/>
          </w:tcPr>
          <w:p w14:paraId="08421C6B" w14:textId="77777777" w:rsidR="00E24318" w:rsidRPr="00803C52" w:rsidRDefault="00E24318" w:rsidP="004A3EE9">
            <w:pPr>
              <w:rPr>
                <w:color w:val="auto"/>
                <w:lang w:val="en-GB"/>
              </w:rPr>
            </w:pPr>
          </w:p>
        </w:tc>
        <w:tc>
          <w:tcPr>
            <w:tcW w:w="3117" w:type="dxa"/>
          </w:tcPr>
          <w:p w14:paraId="6B48EA38" w14:textId="77777777" w:rsidR="00E24318" w:rsidRPr="00803C52" w:rsidRDefault="00E24318" w:rsidP="004A3EE9">
            <w:pPr>
              <w:rPr>
                <w:color w:val="auto"/>
                <w:lang w:val="en-GB"/>
              </w:rPr>
            </w:pPr>
          </w:p>
        </w:tc>
      </w:tr>
      <w:tr w:rsidR="00E24318" w:rsidRPr="00803C52" w14:paraId="55434443" w14:textId="77777777" w:rsidTr="004A3EE9">
        <w:tc>
          <w:tcPr>
            <w:tcW w:w="3116" w:type="dxa"/>
          </w:tcPr>
          <w:p w14:paraId="41E40718" w14:textId="77777777" w:rsidR="00E24318" w:rsidRPr="00803C52" w:rsidRDefault="00E24318" w:rsidP="004A3EE9">
            <w:pPr>
              <w:rPr>
                <w:color w:val="auto"/>
                <w:lang w:val="en-GB"/>
              </w:rPr>
            </w:pPr>
          </w:p>
        </w:tc>
        <w:tc>
          <w:tcPr>
            <w:tcW w:w="3117" w:type="dxa"/>
          </w:tcPr>
          <w:p w14:paraId="63F10247" w14:textId="77777777" w:rsidR="00E24318" w:rsidRPr="00803C52" w:rsidRDefault="00E24318" w:rsidP="004A3EE9">
            <w:pPr>
              <w:rPr>
                <w:color w:val="auto"/>
                <w:lang w:val="en-GB"/>
              </w:rPr>
            </w:pPr>
          </w:p>
        </w:tc>
        <w:tc>
          <w:tcPr>
            <w:tcW w:w="3117" w:type="dxa"/>
          </w:tcPr>
          <w:p w14:paraId="2FF1407A" w14:textId="77777777" w:rsidR="00E24318" w:rsidRPr="00803C52" w:rsidRDefault="00E24318" w:rsidP="004A3EE9">
            <w:pPr>
              <w:rPr>
                <w:color w:val="auto"/>
                <w:lang w:val="en-GB"/>
              </w:rPr>
            </w:pPr>
          </w:p>
        </w:tc>
      </w:tr>
      <w:tr w:rsidR="00E24318" w:rsidRPr="00803C52" w14:paraId="35C644F1" w14:textId="77777777" w:rsidTr="004A3EE9">
        <w:tc>
          <w:tcPr>
            <w:tcW w:w="3116" w:type="dxa"/>
          </w:tcPr>
          <w:p w14:paraId="109EA42C" w14:textId="77777777" w:rsidR="00E24318" w:rsidRPr="00803C52" w:rsidRDefault="00E24318" w:rsidP="004A3EE9">
            <w:pPr>
              <w:rPr>
                <w:color w:val="auto"/>
                <w:lang w:val="en-GB"/>
              </w:rPr>
            </w:pPr>
          </w:p>
        </w:tc>
        <w:tc>
          <w:tcPr>
            <w:tcW w:w="3117" w:type="dxa"/>
          </w:tcPr>
          <w:p w14:paraId="310CD9B1" w14:textId="77777777" w:rsidR="00E24318" w:rsidRPr="00803C52" w:rsidRDefault="00E24318" w:rsidP="004A3EE9">
            <w:pPr>
              <w:rPr>
                <w:color w:val="auto"/>
                <w:lang w:val="en-GB"/>
              </w:rPr>
            </w:pPr>
          </w:p>
        </w:tc>
        <w:tc>
          <w:tcPr>
            <w:tcW w:w="3117" w:type="dxa"/>
          </w:tcPr>
          <w:p w14:paraId="55082D7F" w14:textId="77777777" w:rsidR="00E24318" w:rsidRPr="00803C52" w:rsidRDefault="00E24318" w:rsidP="004A3EE9">
            <w:pPr>
              <w:rPr>
                <w:color w:val="auto"/>
                <w:lang w:val="en-GB"/>
              </w:rPr>
            </w:pPr>
          </w:p>
        </w:tc>
      </w:tr>
      <w:tr w:rsidR="00E24318" w:rsidRPr="00803C52" w14:paraId="06B4EEE1" w14:textId="77777777" w:rsidTr="004A3EE9">
        <w:tc>
          <w:tcPr>
            <w:tcW w:w="3116" w:type="dxa"/>
          </w:tcPr>
          <w:p w14:paraId="124FA94C" w14:textId="77777777" w:rsidR="00E24318" w:rsidRPr="00803C52" w:rsidRDefault="00E24318" w:rsidP="004A3EE9">
            <w:pPr>
              <w:rPr>
                <w:color w:val="auto"/>
                <w:lang w:val="en-GB"/>
              </w:rPr>
            </w:pPr>
          </w:p>
        </w:tc>
        <w:tc>
          <w:tcPr>
            <w:tcW w:w="3117" w:type="dxa"/>
          </w:tcPr>
          <w:p w14:paraId="151E70A0" w14:textId="77777777" w:rsidR="00E24318" w:rsidRPr="00803C52" w:rsidRDefault="00E24318" w:rsidP="004A3EE9">
            <w:pPr>
              <w:rPr>
                <w:color w:val="auto"/>
                <w:lang w:val="en-GB"/>
              </w:rPr>
            </w:pPr>
          </w:p>
        </w:tc>
        <w:tc>
          <w:tcPr>
            <w:tcW w:w="3117" w:type="dxa"/>
          </w:tcPr>
          <w:p w14:paraId="4BD35D73" w14:textId="77777777" w:rsidR="00E24318" w:rsidRPr="00803C52" w:rsidRDefault="00E24318" w:rsidP="004A3EE9">
            <w:pPr>
              <w:rPr>
                <w:color w:val="auto"/>
                <w:lang w:val="en-GB"/>
              </w:rPr>
            </w:pPr>
          </w:p>
        </w:tc>
      </w:tr>
    </w:tbl>
    <w:p w14:paraId="360FB437" w14:textId="77777777" w:rsidR="00150F89" w:rsidRPr="00115061" w:rsidRDefault="00150F89" w:rsidP="00150F89">
      <w:pPr>
        <w:pStyle w:val="Heading2"/>
        <w:rPr>
          <w:lang w:val="en-GB"/>
        </w:rPr>
      </w:pPr>
      <w:bookmarkStart w:id="37" w:name="_Toc131084401"/>
      <w:r w:rsidRPr="00115061">
        <w:rPr>
          <w:lang w:val="en-GB"/>
        </w:rPr>
        <w:t>3.3. Pillar III - Public Procurement Operations and Market Practices</w:t>
      </w:r>
      <w:bookmarkEnd w:id="37"/>
      <w:r w:rsidRPr="00115061">
        <w:rPr>
          <w:lang w:val="en-GB"/>
        </w:rPr>
        <w:t xml:space="preserve"> </w:t>
      </w:r>
    </w:p>
    <w:p w14:paraId="42EE7191" w14:textId="77777777" w:rsidR="00150F89" w:rsidRPr="00D635C7" w:rsidRDefault="00150F89" w:rsidP="00150F89">
      <w:pPr>
        <w:rPr>
          <w:rFonts w:cstheme="minorHAnsi"/>
          <w:lang w:val="en-GB"/>
        </w:rPr>
      </w:pPr>
      <w:r w:rsidRPr="00D635C7">
        <w:rPr>
          <w:rFonts w:cstheme="minorHAnsi"/>
          <w:lang w:val="en-GB"/>
        </w:rPr>
        <w:t xml:space="preserve">The MAPS core methodology, Pillar III, assesses the operational efficiency, transparency, and effectiveness of the procurement system by selecting and reviewing a sample of actual procurement cases of several </w:t>
      </w:r>
      <w:r w:rsidRPr="00D635C7">
        <w:rPr>
          <w:rFonts w:cstheme="minorHAnsi"/>
          <w:lang w:val="en-GB"/>
        </w:rPr>
        <w:lastRenderedPageBreak/>
        <w:t xml:space="preserve">procuring entities. It also looks at the market as one means of judging the quality and effectiveness of the system when putting procurement procedures into practice. Pillar III of the MAPS core methodology comprises two indicators and a total of six sub-indicators. </w:t>
      </w:r>
    </w:p>
    <w:p w14:paraId="5226D03E" w14:textId="26DEE859" w:rsidR="00150F89" w:rsidRPr="00150F89" w:rsidRDefault="00150F89" w:rsidP="00150F89">
      <w:pPr>
        <w:rPr>
          <w:rFonts w:cstheme="minorHAnsi"/>
          <w:lang w:val="en-GB"/>
        </w:rPr>
      </w:pPr>
      <w:r w:rsidRPr="00D635C7">
        <w:rPr>
          <w:rFonts w:cstheme="minorHAnsi"/>
          <w:lang w:val="en-GB"/>
        </w:rPr>
        <w:t>This assessment of professionalisation reviews (1) the existence of mechanisms integration to finance at least partially the education and training related costs of professionalisation; (2) whether public procurement is recognized as a professional career line; and (3) whether procurement education, training and certification are developed in a transparent market, free of distortions and where the field of play is levelled.</w:t>
      </w:r>
    </w:p>
    <w:p w14:paraId="0C74BAC8" w14:textId="41350EFC" w:rsidR="00AB5707" w:rsidRPr="00115061" w:rsidRDefault="00150F89" w:rsidP="00AB5707">
      <w:pPr>
        <w:pStyle w:val="Heading3"/>
        <w:rPr>
          <w:lang w:val="en-GB"/>
        </w:rPr>
      </w:pPr>
      <w:bookmarkStart w:id="38" w:name="_Toc131084402"/>
      <w:r>
        <w:rPr>
          <w:lang w:val="en-GB"/>
        </w:rPr>
        <w:t>Prof-</w:t>
      </w:r>
      <w:r w:rsidR="00AB5707" w:rsidRPr="00115061">
        <w:rPr>
          <w:lang w:val="en-GB"/>
        </w:rPr>
        <w:t xml:space="preserve">Indicator </w:t>
      </w:r>
      <w:r>
        <w:rPr>
          <w:lang w:val="en-GB"/>
        </w:rPr>
        <w:t>6</w:t>
      </w:r>
      <w:r w:rsidR="00AB5707" w:rsidRPr="00115061">
        <w:rPr>
          <w:lang w:val="en-GB"/>
        </w:rPr>
        <w:t xml:space="preserve">. </w:t>
      </w:r>
      <w:r>
        <w:rPr>
          <w:lang w:val="en-GB"/>
        </w:rPr>
        <w:t>The public procurement system has adequate financial mechanisms to finance the cost of education, training and certification of public procurement professionals</w:t>
      </w:r>
      <w:bookmarkEnd w:id="38"/>
      <w:r w:rsidR="00AB5707" w:rsidRPr="00115061">
        <w:rPr>
          <w:lang w:val="en-GB"/>
        </w:rPr>
        <w:t xml:space="preserve"> </w:t>
      </w:r>
    </w:p>
    <w:p w14:paraId="33232BE0" w14:textId="77777777" w:rsidR="00150F89" w:rsidRPr="00D635C7" w:rsidRDefault="00150F89" w:rsidP="00150F89">
      <w:pPr>
        <w:rPr>
          <w:rFonts w:cstheme="minorHAnsi"/>
          <w:lang w:val="en-GB"/>
        </w:rPr>
      </w:pPr>
      <w:r w:rsidRPr="00D635C7">
        <w:rPr>
          <w:rFonts w:cstheme="minorHAnsi"/>
          <w:lang w:val="en-GB"/>
        </w:rPr>
        <w:t>One of the challenges of professionalisation is the cost of education, training and certification. Adequate funding is necessary to ensure quality education, training and certification that contributes to the sustainable development of the procurement professionalisation market.</w:t>
      </w:r>
    </w:p>
    <w:p w14:paraId="7747B90A" w14:textId="271BDA02" w:rsidR="00150F89" w:rsidRPr="00150F89" w:rsidRDefault="00150F89" w:rsidP="00AB5707">
      <w:pPr>
        <w:rPr>
          <w:rFonts w:cstheme="minorHAnsi"/>
          <w:lang w:val="en-GB"/>
        </w:rPr>
      </w:pPr>
      <w:r w:rsidRPr="00D635C7">
        <w:rPr>
          <w:rFonts w:cstheme="minorHAnsi"/>
          <w:lang w:val="en-GB"/>
        </w:rPr>
        <w:t>Public funds allocated in the procurement entities’ budgets must be available to finance at least partially the costs of education and training of their procurement officers.</w:t>
      </w:r>
    </w:p>
    <w:p w14:paraId="776DE704" w14:textId="68FB72B2" w:rsidR="00E24318" w:rsidRPr="00150F89" w:rsidRDefault="00E24318" w:rsidP="00150F89">
      <w:pPr>
        <w:pStyle w:val="ListParagraph"/>
        <w:numPr>
          <w:ilvl w:val="0"/>
          <w:numId w:val="2"/>
        </w:numPr>
        <w:rPr>
          <w:b/>
          <w:color w:val="auto"/>
          <w:lang w:val="en-GB"/>
        </w:rPr>
      </w:pPr>
      <w:r w:rsidRPr="00150F89">
        <w:rPr>
          <w:b/>
          <w:color w:val="auto"/>
          <w:lang w:val="en-GB"/>
        </w:rPr>
        <w:t>Synthesis of the indicator</w:t>
      </w:r>
    </w:p>
    <w:p w14:paraId="4E447A8A" w14:textId="77777777" w:rsidR="00E24318" w:rsidRPr="00803C52" w:rsidRDefault="00E24318" w:rsidP="00E24318">
      <w:pPr>
        <w:ind w:left="360"/>
        <w:rPr>
          <w:b/>
          <w:color w:val="auto"/>
          <w:lang w:val="en-GB"/>
        </w:rPr>
      </w:pPr>
      <w:r w:rsidRPr="00803C52">
        <w:rPr>
          <w:b/>
          <w:color w:val="auto"/>
          <w:lang w:val="en-GB"/>
        </w:rPr>
        <w:t>…</w:t>
      </w:r>
    </w:p>
    <w:p w14:paraId="341DE42A"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79C6E58A" w14:textId="77777777" w:rsidR="00E24318" w:rsidRPr="00803C52" w:rsidRDefault="00E24318" w:rsidP="00E24318">
      <w:pPr>
        <w:ind w:firstLine="360"/>
        <w:rPr>
          <w:color w:val="auto"/>
          <w:lang w:val="en-GB"/>
        </w:rPr>
      </w:pPr>
      <w:r w:rsidRPr="00803C52">
        <w:rPr>
          <w:color w:val="auto"/>
          <w:lang w:val="en-GB"/>
        </w:rPr>
        <w:t>…</w:t>
      </w:r>
    </w:p>
    <w:p w14:paraId="5E60C782" w14:textId="70181531"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41D2A11D" w14:textId="77777777" w:rsidR="00E24318" w:rsidRPr="00803C52" w:rsidRDefault="00E24318" w:rsidP="00E24318">
      <w:pPr>
        <w:ind w:firstLine="360"/>
        <w:rPr>
          <w:color w:val="auto"/>
          <w:lang w:val="en-GB"/>
        </w:rPr>
      </w:pPr>
      <w:r w:rsidRPr="00803C52">
        <w:rPr>
          <w:color w:val="auto"/>
          <w:lang w:val="en-GB"/>
        </w:rPr>
        <w:t>…</w:t>
      </w:r>
    </w:p>
    <w:p w14:paraId="487BBC09"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4DE991B1" w14:textId="77777777" w:rsidR="00E24318" w:rsidRPr="00803C52" w:rsidRDefault="00E24318" w:rsidP="00E24318">
      <w:pPr>
        <w:ind w:firstLine="360"/>
        <w:rPr>
          <w:color w:val="auto"/>
          <w:lang w:val="en-GB"/>
        </w:rPr>
      </w:pPr>
      <w:r w:rsidRPr="00803C52">
        <w:rPr>
          <w:color w:val="auto"/>
          <w:lang w:val="en-GB"/>
        </w:rPr>
        <w:t>…</w:t>
      </w:r>
    </w:p>
    <w:p w14:paraId="148706C6" w14:textId="77777777" w:rsidR="00E24318" w:rsidRPr="00803C52" w:rsidRDefault="00E24318" w:rsidP="00E24318">
      <w:pPr>
        <w:rPr>
          <w:color w:val="auto"/>
          <w:lang w:val="en-GB"/>
        </w:rPr>
      </w:pPr>
    </w:p>
    <w:p w14:paraId="1B1B9ABF" w14:textId="2A2F48A1" w:rsidR="00E24318" w:rsidRPr="00803C52" w:rsidRDefault="00E24318" w:rsidP="00E24318">
      <w:pPr>
        <w:rPr>
          <w:b/>
          <w:bCs/>
          <w:color w:val="auto"/>
          <w:lang w:val="en-GB"/>
        </w:rPr>
      </w:pPr>
      <w:r w:rsidRPr="00803C52">
        <w:rPr>
          <w:b/>
          <w:bCs/>
          <w:color w:val="auto"/>
          <w:lang w:val="en-GB"/>
        </w:rPr>
        <w:t xml:space="preserve">Summary of substantive gaps and recommendations of </w:t>
      </w:r>
      <w:r w:rsidR="00150F89">
        <w:rPr>
          <w:b/>
          <w:bCs/>
          <w:color w:val="auto"/>
          <w:lang w:val="en-GB"/>
        </w:rPr>
        <w:t>Prof-</w:t>
      </w:r>
      <w:r w:rsidRPr="00803C52">
        <w:rPr>
          <w:b/>
          <w:bCs/>
          <w:color w:val="auto"/>
          <w:lang w:val="en-GB"/>
        </w:rPr>
        <w:t xml:space="preserve">Indicator </w:t>
      </w:r>
      <w:r w:rsidR="00150F89">
        <w:rPr>
          <w:b/>
          <w:bCs/>
          <w:color w:val="auto"/>
          <w:lang w:val="en-GB"/>
        </w:rPr>
        <w:t>6</w:t>
      </w:r>
    </w:p>
    <w:tbl>
      <w:tblPr>
        <w:tblStyle w:val="TableGrid"/>
        <w:tblW w:w="0" w:type="auto"/>
        <w:tblLook w:val="04A0" w:firstRow="1" w:lastRow="0" w:firstColumn="1" w:lastColumn="0" w:noHBand="0" w:noVBand="1"/>
      </w:tblPr>
      <w:tblGrid>
        <w:gridCol w:w="3116"/>
        <w:gridCol w:w="3117"/>
        <w:gridCol w:w="3117"/>
      </w:tblGrid>
      <w:tr w:rsidR="00E24318" w:rsidRPr="00803C52" w14:paraId="148D584A" w14:textId="77777777" w:rsidTr="004A3EE9">
        <w:tc>
          <w:tcPr>
            <w:tcW w:w="3116" w:type="dxa"/>
            <w:shd w:val="clear" w:color="auto" w:fill="DADADA" w:themeFill="background2" w:themeFillShade="E6"/>
          </w:tcPr>
          <w:p w14:paraId="0D0C4970"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2B69FC12"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1BF802BA"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6B6E3AD7" w14:textId="77777777" w:rsidTr="004A3EE9">
        <w:tc>
          <w:tcPr>
            <w:tcW w:w="3116" w:type="dxa"/>
          </w:tcPr>
          <w:p w14:paraId="0D80C3A3" w14:textId="77777777" w:rsidR="00E24318" w:rsidRPr="00803C52" w:rsidRDefault="00E24318" w:rsidP="004A3EE9">
            <w:pPr>
              <w:rPr>
                <w:color w:val="auto"/>
                <w:lang w:val="en-GB"/>
              </w:rPr>
            </w:pPr>
          </w:p>
        </w:tc>
        <w:tc>
          <w:tcPr>
            <w:tcW w:w="3117" w:type="dxa"/>
          </w:tcPr>
          <w:p w14:paraId="1FDDF2E6" w14:textId="77777777" w:rsidR="00E24318" w:rsidRPr="00803C52" w:rsidRDefault="00E24318" w:rsidP="004A3EE9">
            <w:pPr>
              <w:rPr>
                <w:color w:val="auto"/>
                <w:lang w:val="en-GB"/>
              </w:rPr>
            </w:pPr>
          </w:p>
        </w:tc>
        <w:tc>
          <w:tcPr>
            <w:tcW w:w="3117" w:type="dxa"/>
          </w:tcPr>
          <w:p w14:paraId="20BC1B40" w14:textId="77777777" w:rsidR="00E24318" w:rsidRPr="00803C52" w:rsidRDefault="00E24318" w:rsidP="004A3EE9">
            <w:pPr>
              <w:rPr>
                <w:color w:val="auto"/>
                <w:lang w:val="en-GB"/>
              </w:rPr>
            </w:pPr>
          </w:p>
        </w:tc>
      </w:tr>
      <w:tr w:rsidR="00E24318" w:rsidRPr="00803C52" w14:paraId="1787DE85" w14:textId="77777777" w:rsidTr="004A3EE9">
        <w:tc>
          <w:tcPr>
            <w:tcW w:w="3116" w:type="dxa"/>
          </w:tcPr>
          <w:p w14:paraId="7ED44D14" w14:textId="77777777" w:rsidR="00E24318" w:rsidRPr="00803C52" w:rsidRDefault="00E24318" w:rsidP="004A3EE9">
            <w:pPr>
              <w:rPr>
                <w:color w:val="auto"/>
                <w:lang w:val="en-GB"/>
              </w:rPr>
            </w:pPr>
          </w:p>
        </w:tc>
        <w:tc>
          <w:tcPr>
            <w:tcW w:w="3117" w:type="dxa"/>
          </w:tcPr>
          <w:p w14:paraId="319DE596" w14:textId="77777777" w:rsidR="00E24318" w:rsidRPr="00803C52" w:rsidRDefault="00E24318" w:rsidP="004A3EE9">
            <w:pPr>
              <w:rPr>
                <w:color w:val="auto"/>
                <w:lang w:val="en-GB"/>
              </w:rPr>
            </w:pPr>
          </w:p>
        </w:tc>
        <w:tc>
          <w:tcPr>
            <w:tcW w:w="3117" w:type="dxa"/>
          </w:tcPr>
          <w:p w14:paraId="117D85EF" w14:textId="77777777" w:rsidR="00E24318" w:rsidRPr="00803C52" w:rsidRDefault="00E24318" w:rsidP="004A3EE9">
            <w:pPr>
              <w:rPr>
                <w:color w:val="auto"/>
                <w:lang w:val="en-GB"/>
              </w:rPr>
            </w:pPr>
          </w:p>
        </w:tc>
      </w:tr>
      <w:tr w:rsidR="00E24318" w:rsidRPr="00803C52" w14:paraId="3472E7F3" w14:textId="77777777" w:rsidTr="004A3EE9">
        <w:tc>
          <w:tcPr>
            <w:tcW w:w="3116" w:type="dxa"/>
          </w:tcPr>
          <w:p w14:paraId="52704CBD" w14:textId="77777777" w:rsidR="00E24318" w:rsidRPr="00803C52" w:rsidRDefault="00E24318" w:rsidP="004A3EE9">
            <w:pPr>
              <w:rPr>
                <w:color w:val="auto"/>
                <w:lang w:val="en-GB"/>
              </w:rPr>
            </w:pPr>
          </w:p>
        </w:tc>
        <w:tc>
          <w:tcPr>
            <w:tcW w:w="3117" w:type="dxa"/>
          </w:tcPr>
          <w:p w14:paraId="393CBFE2" w14:textId="77777777" w:rsidR="00E24318" w:rsidRPr="00803C52" w:rsidRDefault="00E24318" w:rsidP="004A3EE9">
            <w:pPr>
              <w:rPr>
                <w:color w:val="auto"/>
                <w:lang w:val="en-GB"/>
              </w:rPr>
            </w:pPr>
          </w:p>
        </w:tc>
        <w:tc>
          <w:tcPr>
            <w:tcW w:w="3117" w:type="dxa"/>
          </w:tcPr>
          <w:p w14:paraId="6A9A170B" w14:textId="77777777" w:rsidR="00E24318" w:rsidRPr="00803C52" w:rsidRDefault="00E24318" w:rsidP="004A3EE9">
            <w:pPr>
              <w:rPr>
                <w:color w:val="auto"/>
                <w:lang w:val="en-GB"/>
              </w:rPr>
            </w:pPr>
          </w:p>
        </w:tc>
      </w:tr>
      <w:tr w:rsidR="00E24318" w:rsidRPr="00803C52" w14:paraId="05D84AFD" w14:textId="77777777" w:rsidTr="004A3EE9">
        <w:tc>
          <w:tcPr>
            <w:tcW w:w="3116" w:type="dxa"/>
          </w:tcPr>
          <w:p w14:paraId="37391EC8" w14:textId="77777777" w:rsidR="00E24318" w:rsidRPr="00803C52" w:rsidRDefault="00E24318" w:rsidP="004A3EE9">
            <w:pPr>
              <w:rPr>
                <w:color w:val="auto"/>
                <w:lang w:val="en-GB"/>
              </w:rPr>
            </w:pPr>
          </w:p>
        </w:tc>
        <w:tc>
          <w:tcPr>
            <w:tcW w:w="3117" w:type="dxa"/>
          </w:tcPr>
          <w:p w14:paraId="255EBFC4" w14:textId="77777777" w:rsidR="00E24318" w:rsidRPr="00803C52" w:rsidRDefault="00E24318" w:rsidP="004A3EE9">
            <w:pPr>
              <w:rPr>
                <w:color w:val="auto"/>
                <w:lang w:val="en-GB"/>
              </w:rPr>
            </w:pPr>
          </w:p>
        </w:tc>
        <w:tc>
          <w:tcPr>
            <w:tcW w:w="3117" w:type="dxa"/>
          </w:tcPr>
          <w:p w14:paraId="3EEF8544" w14:textId="77777777" w:rsidR="00E24318" w:rsidRPr="00803C52" w:rsidRDefault="00E24318" w:rsidP="004A3EE9">
            <w:pPr>
              <w:rPr>
                <w:color w:val="auto"/>
                <w:lang w:val="en-GB"/>
              </w:rPr>
            </w:pPr>
          </w:p>
        </w:tc>
      </w:tr>
    </w:tbl>
    <w:p w14:paraId="0C74BAD0" w14:textId="6983312D" w:rsidR="0055549A" w:rsidRPr="00115061" w:rsidRDefault="00150F89" w:rsidP="0055549A">
      <w:pPr>
        <w:pStyle w:val="Heading3"/>
        <w:rPr>
          <w:lang w:val="en-GB"/>
        </w:rPr>
      </w:pPr>
      <w:bookmarkStart w:id="39" w:name="_Toc131084403"/>
      <w:r>
        <w:rPr>
          <w:lang w:val="en-GB"/>
        </w:rPr>
        <w:lastRenderedPageBreak/>
        <w:t>Prof-I</w:t>
      </w:r>
      <w:r w:rsidR="0055549A" w:rsidRPr="00115061">
        <w:rPr>
          <w:lang w:val="en-GB"/>
        </w:rPr>
        <w:t xml:space="preserve">ndicator </w:t>
      </w:r>
      <w:r>
        <w:rPr>
          <w:lang w:val="en-GB"/>
        </w:rPr>
        <w:t>7</w:t>
      </w:r>
      <w:r w:rsidR="0055549A" w:rsidRPr="00115061">
        <w:rPr>
          <w:lang w:val="en-GB"/>
        </w:rPr>
        <w:t xml:space="preserve">. </w:t>
      </w:r>
      <w:r>
        <w:rPr>
          <w:lang w:val="en-GB"/>
        </w:rPr>
        <w:t>Public procurement is recognised as a professional career line in the country’s public service</w:t>
      </w:r>
      <w:bookmarkEnd w:id="39"/>
    </w:p>
    <w:p w14:paraId="1B0607E8" w14:textId="4DA95B18" w:rsidR="00150F89" w:rsidRPr="00150F89" w:rsidRDefault="00150F89" w:rsidP="0055549A">
      <w:pPr>
        <w:rPr>
          <w:rFonts w:cstheme="minorHAnsi"/>
          <w:lang w:val="en-GB"/>
        </w:rPr>
      </w:pPr>
      <w:r w:rsidRPr="00D635C7">
        <w:rPr>
          <w:rFonts w:cstheme="minorHAnsi"/>
          <w:lang w:val="en-GB"/>
        </w:rPr>
        <w:t>As a complement to the sub-indicator 8(b) of the core methodology (Recognition of procurement as a profession), this indicator evaluates specific aspects of such a recognition, like the existence of a competency framework, as well as a career path and how it compares to others, in terms of levels of remuneration and stability. This indicator is divided into three sub-indicators (a-c), which are evaluated individually.</w:t>
      </w:r>
    </w:p>
    <w:p w14:paraId="240DF691"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46B8D13F" w14:textId="77777777" w:rsidR="00E24318" w:rsidRPr="00803C52" w:rsidRDefault="00E24318" w:rsidP="00E24318">
      <w:pPr>
        <w:ind w:left="360"/>
        <w:rPr>
          <w:b/>
          <w:color w:val="auto"/>
          <w:lang w:val="en-GB"/>
        </w:rPr>
      </w:pPr>
      <w:r w:rsidRPr="00803C52">
        <w:rPr>
          <w:b/>
          <w:color w:val="auto"/>
          <w:lang w:val="en-GB"/>
        </w:rPr>
        <w:t>…</w:t>
      </w:r>
    </w:p>
    <w:p w14:paraId="3B403D0C"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2A72C310" w14:textId="77777777" w:rsidR="00E24318" w:rsidRPr="00803C52" w:rsidRDefault="00E24318" w:rsidP="00E24318">
      <w:pPr>
        <w:ind w:firstLine="360"/>
        <w:rPr>
          <w:color w:val="auto"/>
          <w:lang w:val="en-GB"/>
        </w:rPr>
      </w:pPr>
      <w:r w:rsidRPr="00803C52">
        <w:rPr>
          <w:color w:val="auto"/>
          <w:lang w:val="en-GB"/>
        </w:rPr>
        <w:t>…</w:t>
      </w:r>
    </w:p>
    <w:p w14:paraId="0FB1FE27" w14:textId="6B777248"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3A6FE0A1" w14:textId="77777777" w:rsidR="00E24318" w:rsidRPr="00803C52" w:rsidRDefault="00E24318" w:rsidP="00E24318">
      <w:pPr>
        <w:ind w:firstLine="360"/>
        <w:rPr>
          <w:color w:val="auto"/>
          <w:lang w:val="en-GB"/>
        </w:rPr>
      </w:pPr>
      <w:r w:rsidRPr="00803C52">
        <w:rPr>
          <w:color w:val="auto"/>
          <w:lang w:val="en-GB"/>
        </w:rPr>
        <w:t>…</w:t>
      </w:r>
    </w:p>
    <w:p w14:paraId="71095EBF"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0F84B28F" w14:textId="77777777" w:rsidR="00E24318" w:rsidRPr="00803C52" w:rsidRDefault="00E24318" w:rsidP="00E24318">
      <w:pPr>
        <w:ind w:firstLine="360"/>
        <w:rPr>
          <w:color w:val="auto"/>
          <w:lang w:val="en-GB"/>
        </w:rPr>
      </w:pPr>
      <w:r w:rsidRPr="00803C52">
        <w:rPr>
          <w:color w:val="auto"/>
          <w:lang w:val="en-GB"/>
        </w:rPr>
        <w:t>…</w:t>
      </w:r>
    </w:p>
    <w:p w14:paraId="70C2E473" w14:textId="77777777" w:rsidR="00E24318" w:rsidRPr="00803C52" w:rsidRDefault="00E24318" w:rsidP="00E24318">
      <w:pPr>
        <w:rPr>
          <w:color w:val="auto"/>
          <w:lang w:val="en-GB"/>
        </w:rPr>
      </w:pPr>
    </w:p>
    <w:p w14:paraId="7FC2FB12" w14:textId="348EBD4E" w:rsidR="00E24318" w:rsidRPr="00803C52" w:rsidRDefault="00E24318" w:rsidP="00E24318">
      <w:pPr>
        <w:rPr>
          <w:b/>
          <w:bCs/>
          <w:color w:val="auto"/>
          <w:lang w:val="en-GB"/>
        </w:rPr>
      </w:pPr>
      <w:r w:rsidRPr="00803C52">
        <w:rPr>
          <w:b/>
          <w:bCs/>
          <w:color w:val="auto"/>
          <w:lang w:val="en-GB"/>
        </w:rPr>
        <w:t xml:space="preserve">Summary of substantive gaps and recommendations of </w:t>
      </w:r>
      <w:r w:rsidR="00150F89">
        <w:rPr>
          <w:b/>
          <w:bCs/>
          <w:color w:val="auto"/>
          <w:lang w:val="en-GB"/>
        </w:rPr>
        <w:t>Prof-</w:t>
      </w:r>
      <w:r w:rsidRPr="00803C52">
        <w:rPr>
          <w:b/>
          <w:bCs/>
          <w:color w:val="auto"/>
          <w:lang w:val="en-GB"/>
        </w:rPr>
        <w:t xml:space="preserve">Indicator </w:t>
      </w:r>
      <w:r w:rsidR="00150F89">
        <w:rPr>
          <w:b/>
          <w:bCs/>
          <w:color w:val="auto"/>
          <w:lang w:val="en-GB"/>
        </w:rPr>
        <w:t>7</w:t>
      </w:r>
    </w:p>
    <w:tbl>
      <w:tblPr>
        <w:tblStyle w:val="TableGrid"/>
        <w:tblW w:w="0" w:type="auto"/>
        <w:tblLook w:val="04A0" w:firstRow="1" w:lastRow="0" w:firstColumn="1" w:lastColumn="0" w:noHBand="0" w:noVBand="1"/>
      </w:tblPr>
      <w:tblGrid>
        <w:gridCol w:w="3116"/>
        <w:gridCol w:w="3117"/>
        <w:gridCol w:w="3117"/>
      </w:tblGrid>
      <w:tr w:rsidR="00E24318" w:rsidRPr="00803C52" w14:paraId="23E0E96E" w14:textId="77777777" w:rsidTr="004A3EE9">
        <w:tc>
          <w:tcPr>
            <w:tcW w:w="3116" w:type="dxa"/>
            <w:shd w:val="clear" w:color="auto" w:fill="DADADA" w:themeFill="background2" w:themeFillShade="E6"/>
          </w:tcPr>
          <w:p w14:paraId="7626E5EF"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4D500087"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11311AE1"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06B32AC0" w14:textId="77777777" w:rsidTr="004A3EE9">
        <w:tc>
          <w:tcPr>
            <w:tcW w:w="3116" w:type="dxa"/>
          </w:tcPr>
          <w:p w14:paraId="0667E393" w14:textId="77777777" w:rsidR="00E24318" w:rsidRPr="00803C52" w:rsidRDefault="00E24318" w:rsidP="004A3EE9">
            <w:pPr>
              <w:rPr>
                <w:color w:val="auto"/>
                <w:lang w:val="en-GB"/>
              </w:rPr>
            </w:pPr>
          </w:p>
        </w:tc>
        <w:tc>
          <w:tcPr>
            <w:tcW w:w="3117" w:type="dxa"/>
          </w:tcPr>
          <w:p w14:paraId="5A92443C" w14:textId="77777777" w:rsidR="00E24318" w:rsidRPr="00803C52" w:rsidRDefault="00E24318" w:rsidP="004A3EE9">
            <w:pPr>
              <w:rPr>
                <w:color w:val="auto"/>
                <w:lang w:val="en-GB"/>
              </w:rPr>
            </w:pPr>
          </w:p>
        </w:tc>
        <w:tc>
          <w:tcPr>
            <w:tcW w:w="3117" w:type="dxa"/>
          </w:tcPr>
          <w:p w14:paraId="385096BA" w14:textId="77777777" w:rsidR="00E24318" w:rsidRPr="00803C52" w:rsidRDefault="00E24318" w:rsidP="004A3EE9">
            <w:pPr>
              <w:rPr>
                <w:color w:val="auto"/>
                <w:lang w:val="en-GB"/>
              </w:rPr>
            </w:pPr>
          </w:p>
        </w:tc>
      </w:tr>
      <w:tr w:rsidR="00E24318" w:rsidRPr="00803C52" w14:paraId="4D619D10" w14:textId="77777777" w:rsidTr="004A3EE9">
        <w:tc>
          <w:tcPr>
            <w:tcW w:w="3116" w:type="dxa"/>
          </w:tcPr>
          <w:p w14:paraId="227BBEAD" w14:textId="77777777" w:rsidR="00E24318" w:rsidRPr="00803C52" w:rsidRDefault="00E24318" w:rsidP="004A3EE9">
            <w:pPr>
              <w:rPr>
                <w:color w:val="auto"/>
                <w:lang w:val="en-GB"/>
              </w:rPr>
            </w:pPr>
          </w:p>
        </w:tc>
        <w:tc>
          <w:tcPr>
            <w:tcW w:w="3117" w:type="dxa"/>
          </w:tcPr>
          <w:p w14:paraId="004EABCC" w14:textId="77777777" w:rsidR="00E24318" w:rsidRPr="00803C52" w:rsidRDefault="00E24318" w:rsidP="004A3EE9">
            <w:pPr>
              <w:rPr>
                <w:color w:val="auto"/>
                <w:lang w:val="en-GB"/>
              </w:rPr>
            </w:pPr>
          </w:p>
        </w:tc>
        <w:tc>
          <w:tcPr>
            <w:tcW w:w="3117" w:type="dxa"/>
          </w:tcPr>
          <w:p w14:paraId="65216662" w14:textId="77777777" w:rsidR="00E24318" w:rsidRPr="00803C52" w:rsidRDefault="00E24318" w:rsidP="004A3EE9">
            <w:pPr>
              <w:rPr>
                <w:color w:val="auto"/>
                <w:lang w:val="en-GB"/>
              </w:rPr>
            </w:pPr>
          </w:p>
        </w:tc>
      </w:tr>
      <w:tr w:rsidR="00E24318" w:rsidRPr="00803C52" w14:paraId="39EAA88F" w14:textId="77777777" w:rsidTr="004A3EE9">
        <w:tc>
          <w:tcPr>
            <w:tcW w:w="3116" w:type="dxa"/>
          </w:tcPr>
          <w:p w14:paraId="34D34069" w14:textId="77777777" w:rsidR="00E24318" w:rsidRPr="00803C52" w:rsidRDefault="00E24318" w:rsidP="004A3EE9">
            <w:pPr>
              <w:rPr>
                <w:color w:val="auto"/>
                <w:lang w:val="en-GB"/>
              </w:rPr>
            </w:pPr>
          </w:p>
        </w:tc>
        <w:tc>
          <w:tcPr>
            <w:tcW w:w="3117" w:type="dxa"/>
          </w:tcPr>
          <w:p w14:paraId="275ACE91" w14:textId="77777777" w:rsidR="00E24318" w:rsidRPr="00803C52" w:rsidRDefault="00E24318" w:rsidP="004A3EE9">
            <w:pPr>
              <w:rPr>
                <w:color w:val="auto"/>
                <w:lang w:val="en-GB"/>
              </w:rPr>
            </w:pPr>
          </w:p>
        </w:tc>
        <w:tc>
          <w:tcPr>
            <w:tcW w:w="3117" w:type="dxa"/>
          </w:tcPr>
          <w:p w14:paraId="61B36305" w14:textId="77777777" w:rsidR="00E24318" w:rsidRPr="00803C52" w:rsidRDefault="00E24318" w:rsidP="004A3EE9">
            <w:pPr>
              <w:rPr>
                <w:color w:val="auto"/>
                <w:lang w:val="en-GB"/>
              </w:rPr>
            </w:pPr>
          </w:p>
        </w:tc>
      </w:tr>
      <w:tr w:rsidR="00E24318" w:rsidRPr="00803C52" w14:paraId="34745E91" w14:textId="77777777" w:rsidTr="004A3EE9">
        <w:tc>
          <w:tcPr>
            <w:tcW w:w="3116" w:type="dxa"/>
          </w:tcPr>
          <w:p w14:paraId="7A514572" w14:textId="77777777" w:rsidR="00E24318" w:rsidRPr="00803C52" w:rsidRDefault="00E24318" w:rsidP="004A3EE9">
            <w:pPr>
              <w:rPr>
                <w:color w:val="auto"/>
                <w:lang w:val="en-GB"/>
              </w:rPr>
            </w:pPr>
          </w:p>
        </w:tc>
        <w:tc>
          <w:tcPr>
            <w:tcW w:w="3117" w:type="dxa"/>
          </w:tcPr>
          <w:p w14:paraId="1AE21BE7" w14:textId="77777777" w:rsidR="00E24318" w:rsidRPr="00803C52" w:rsidRDefault="00E24318" w:rsidP="004A3EE9">
            <w:pPr>
              <w:rPr>
                <w:color w:val="auto"/>
                <w:lang w:val="en-GB"/>
              </w:rPr>
            </w:pPr>
          </w:p>
        </w:tc>
        <w:tc>
          <w:tcPr>
            <w:tcW w:w="3117" w:type="dxa"/>
          </w:tcPr>
          <w:p w14:paraId="6F553F90" w14:textId="77777777" w:rsidR="00E24318" w:rsidRPr="00803C52" w:rsidRDefault="00E24318" w:rsidP="004A3EE9">
            <w:pPr>
              <w:rPr>
                <w:color w:val="auto"/>
                <w:lang w:val="en-GB"/>
              </w:rPr>
            </w:pPr>
          </w:p>
        </w:tc>
      </w:tr>
    </w:tbl>
    <w:p w14:paraId="0C74BADB" w14:textId="3F8D36E5" w:rsidR="00F42F31" w:rsidRPr="00115061" w:rsidRDefault="00150F89" w:rsidP="00F42F31">
      <w:pPr>
        <w:pStyle w:val="Heading3"/>
        <w:rPr>
          <w:lang w:val="en-GB"/>
        </w:rPr>
      </w:pPr>
      <w:bookmarkStart w:id="40" w:name="_Toc131084404"/>
      <w:r>
        <w:rPr>
          <w:lang w:val="en-GB"/>
        </w:rPr>
        <w:t>Prof-I</w:t>
      </w:r>
      <w:r w:rsidR="00F42F31" w:rsidRPr="00115061">
        <w:rPr>
          <w:lang w:val="en-GB"/>
        </w:rPr>
        <w:t xml:space="preserve">ndicator </w:t>
      </w:r>
      <w:r>
        <w:rPr>
          <w:lang w:val="en-GB"/>
        </w:rPr>
        <w:t>8</w:t>
      </w:r>
      <w:r w:rsidR="00F42F31" w:rsidRPr="00115061">
        <w:rPr>
          <w:lang w:val="en-GB"/>
        </w:rPr>
        <w:t>.</w:t>
      </w:r>
      <w:r>
        <w:rPr>
          <w:lang w:val="en-GB"/>
        </w:rPr>
        <w:t xml:space="preserve"> Market conditions favour the development of professionalisation</w:t>
      </w:r>
      <w:bookmarkEnd w:id="40"/>
    </w:p>
    <w:p w14:paraId="0C74BADD" w14:textId="5BD14476" w:rsidR="00F42F31" w:rsidRPr="00150F89" w:rsidRDefault="00150F89" w:rsidP="00F42F31">
      <w:pPr>
        <w:rPr>
          <w:rFonts w:cstheme="minorHAnsi"/>
          <w:lang w:val="en-GB"/>
        </w:rPr>
      </w:pPr>
      <w:r w:rsidRPr="00D635C7">
        <w:rPr>
          <w:rFonts w:cstheme="minorHAnsi"/>
          <w:lang w:val="en-GB"/>
        </w:rPr>
        <w:t>Experience has shown that an open, transparent and diversified market, free of distortions and where the field of play is levelled, that provides not only a broad range of professionalisation services but also several and diverse approaches.</w:t>
      </w:r>
    </w:p>
    <w:p w14:paraId="1BF456B8"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07AFA07F" w14:textId="77777777" w:rsidR="00E24318" w:rsidRPr="00803C52" w:rsidRDefault="00E24318" w:rsidP="00E24318">
      <w:pPr>
        <w:ind w:left="360"/>
        <w:rPr>
          <w:b/>
          <w:color w:val="auto"/>
          <w:lang w:val="en-GB"/>
        </w:rPr>
      </w:pPr>
      <w:r w:rsidRPr="00803C52">
        <w:rPr>
          <w:b/>
          <w:color w:val="auto"/>
          <w:lang w:val="en-GB"/>
        </w:rPr>
        <w:t>…</w:t>
      </w:r>
    </w:p>
    <w:p w14:paraId="77ACDED5"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3DED8225" w14:textId="77777777" w:rsidR="00E24318" w:rsidRPr="00803C52" w:rsidRDefault="00E24318" w:rsidP="00E24318">
      <w:pPr>
        <w:ind w:firstLine="360"/>
        <w:rPr>
          <w:color w:val="auto"/>
          <w:lang w:val="en-GB"/>
        </w:rPr>
      </w:pPr>
      <w:r w:rsidRPr="00803C52">
        <w:rPr>
          <w:color w:val="auto"/>
          <w:lang w:val="en-GB"/>
        </w:rPr>
        <w:t>…</w:t>
      </w:r>
    </w:p>
    <w:p w14:paraId="5BA6AD84" w14:textId="159CC28D"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245B8642" w14:textId="77777777" w:rsidR="00E24318" w:rsidRPr="00803C52" w:rsidRDefault="00E24318" w:rsidP="00E24318">
      <w:pPr>
        <w:ind w:firstLine="360"/>
        <w:rPr>
          <w:color w:val="auto"/>
          <w:lang w:val="en-GB"/>
        </w:rPr>
      </w:pPr>
      <w:r w:rsidRPr="00803C52">
        <w:rPr>
          <w:color w:val="auto"/>
          <w:lang w:val="en-GB"/>
        </w:rPr>
        <w:t>…</w:t>
      </w:r>
    </w:p>
    <w:p w14:paraId="663A5BA1" w14:textId="77777777" w:rsidR="00E24318" w:rsidRPr="00803C52" w:rsidRDefault="00E24318" w:rsidP="00E24318">
      <w:pPr>
        <w:pStyle w:val="ListParagraph"/>
        <w:numPr>
          <w:ilvl w:val="0"/>
          <w:numId w:val="2"/>
        </w:numPr>
        <w:rPr>
          <w:b/>
          <w:color w:val="auto"/>
          <w:lang w:val="en-GB"/>
        </w:rPr>
      </w:pPr>
      <w:r w:rsidRPr="00803C52">
        <w:rPr>
          <w:b/>
          <w:color w:val="auto"/>
          <w:lang w:val="en-GB"/>
        </w:rPr>
        <w:lastRenderedPageBreak/>
        <w:t>Recommendations</w:t>
      </w:r>
    </w:p>
    <w:p w14:paraId="67DA1E88" w14:textId="77777777" w:rsidR="00E24318" w:rsidRPr="00803C52" w:rsidRDefault="00E24318" w:rsidP="00E24318">
      <w:pPr>
        <w:ind w:firstLine="360"/>
        <w:rPr>
          <w:color w:val="auto"/>
          <w:lang w:val="en-GB"/>
        </w:rPr>
      </w:pPr>
      <w:r w:rsidRPr="00803C52">
        <w:rPr>
          <w:color w:val="auto"/>
          <w:lang w:val="en-GB"/>
        </w:rPr>
        <w:t>…</w:t>
      </w:r>
    </w:p>
    <w:p w14:paraId="35D22897" w14:textId="77777777" w:rsidR="00E24318" w:rsidRPr="00803C52" w:rsidRDefault="00E24318" w:rsidP="00E24318">
      <w:pPr>
        <w:rPr>
          <w:color w:val="auto"/>
          <w:lang w:val="en-GB"/>
        </w:rPr>
      </w:pPr>
    </w:p>
    <w:p w14:paraId="5A6BF2E2" w14:textId="72E0BE86" w:rsidR="00E24318" w:rsidRPr="00803C52" w:rsidRDefault="00E24318" w:rsidP="00E24318">
      <w:pPr>
        <w:rPr>
          <w:b/>
          <w:bCs/>
          <w:color w:val="auto"/>
          <w:lang w:val="en-GB"/>
        </w:rPr>
      </w:pPr>
      <w:r w:rsidRPr="00803C52">
        <w:rPr>
          <w:b/>
          <w:bCs/>
          <w:color w:val="auto"/>
          <w:lang w:val="en-GB"/>
        </w:rPr>
        <w:t>Summary of substantive gaps and recommendations of</w:t>
      </w:r>
      <w:r w:rsidR="001E1EA6">
        <w:rPr>
          <w:b/>
          <w:bCs/>
          <w:color w:val="auto"/>
          <w:lang w:val="en-GB"/>
        </w:rPr>
        <w:t xml:space="preserve"> </w:t>
      </w:r>
      <w:r w:rsidR="00953667">
        <w:rPr>
          <w:b/>
          <w:bCs/>
          <w:color w:val="auto"/>
          <w:lang w:val="en-GB"/>
        </w:rPr>
        <w:t>Prof-I</w:t>
      </w:r>
      <w:r w:rsidRPr="00803C52">
        <w:rPr>
          <w:b/>
          <w:bCs/>
          <w:color w:val="auto"/>
          <w:lang w:val="en-GB"/>
        </w:rPr>
        <w:t xml:space="preserve">ndicator </w:t>
      </w:r>
      <w:r w:rsidR="00953667">
        <w:rPr>
          <w:b/>
          <w:bCs/>
          <w:color w:val="auto"/>
          <w:lang w:val="en-GB"/>
        </w:rPr>
        <w:t>8</w:t>
      </w:r>
    </w:p>
    <w:tbl>
      <w:tblPr>
        <w:tblStyle w:val="TableGrid"/>
        <w:tblW w:w="0" w:type="auto"/>
        <w:tblLook w:val="04A0" w:firstRow="1" w:lastRow="0" w:firstColumn="1" w:lastColumn="0" w:noHBand="0" w:noVBand="1"/>
      </w:tblPr>
      <w:tblGrid>
        <w:gridCol w:w="3116"/>
        <w:gridCol w:w="3117"/>
        <w:gridCol w:w="3117"/>
      </w:tblGrid>
      <w:tr w:rsidR="00E24318" w:rsidRPr="00803C52" w14:paraId="504C5CE7" w14:textId="77777777" w:rsidTr="004A3EE9">
        <w:tc>
          <w:tcPr>
            <w:tcW w:w="3116" w:type="dxa"/>
            <w:shd w:val="clear" w:color="auto" w:fill="DADADA" w:themeFill="background2" w:themeFillShade="E6"/>
          </w:tcPr>
          <w:p w14:paraId="7A51B39F"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2B64CDB4"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55343E71"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685BC4D7" w14:textId="77777777" w:rsidTr="004A3EE9">
        <w:tc>
          <w:tcPr>
            <w:tcW w:w="3116" w:type="dxa"/>
          </w:tcPr>
          <w:p w14:paraId="1C94DA52" w14:textId="77777777" w:rsidR="00E24318" w:rsidRPr="00803C52" w:rsidRDefault="00E24318" w:rsidP="004A3EE9">
            <w:pPr>
              <w:rPr>
                <w:color w:val="auto"/>
                <w:lang w:val="en-GB"/>
              </w:rPr>
            </w:pPr>
          </w:p>
        </w:tc>
        <w:tc>
          <w:tcPr>
            <w:tcW w:w="3117" w:type="dxa"/>
          </w:tcPr>
          <w:p w14:paraId="15882B72" w14:textId="77777777" w:rsidR="00E24318" w:rsidRPr="00803C52" w:rsidRDefault="00E24318" w:rsidP="004A3EE9">
            <w:pPr>
              <w:rPr>
                <w:color w:val="auto"/>
                <w:lang w:val="en-GB"/>
              </w:rPr>
            </w:pPr>
          </w:p>
        </w:tc>
        <w:tc>
          <w:tcPr>
            <w:tcW w:w="3117" w:type="dxa"/>
          </w:tcPr>
          <w:p w14:paraId="23F77BF9" w14:textId="77777777" w:rsidR="00E24318" w:rsidRPr="00803C52" w:rsidRDefault="00E24318" w:rsidP="004A3EE9">
            <w:pPr>
              <w:rPr>
                <w:color w:val="auto"/>
                <w:lang w:val="en-GB"/>
              </w:rPr>
            </w:pPr>
          </w:p>
        </w:tc>
      </w:tr>
      <w:tr w:rsidR="00E24318" w:rsidRPr="00803C52" w14:paraId="25B89E03" w14:textId="77777777" w:rsidTr="004A3EE9">
        <w:tc>
          <w:tcPr>
            <w:tcW w:w="3116" w:type="dxa"/>
          </w:tcPr>
          <w:p w14:paraId="239B4D97" w14:textId="77777777" w:rsidR="00E24318" w:rsidRPr="00803C52" w:rsidRDefault="00E24318" w:rsidP="004A3EE9">
            <w:pPr>
              <w:rPr>
                <w:color w:val="auto"/>
                <w:lang w:val="en-GB"/>
              </w:rPr>
            </w:pPr>
          </w:p>
        </w:tc>
        <w:tc>
          <w:tcPr>
            <w:tcW w:w="3117" w:type="dxa"/>
          </w:tcPr>
          <w:p w14:paraId="17FC5966" w14:textId="77777777" w:rsidR="00E24318" w:rsidRPr="00803C52" w:rsidRDefault="00E24318" w:rsidP="004A3EE9">
            <w:pPr>
              <w:rPr>
                <w:color w:val="auto"/>
                <w:lang w:val="en-GB"/>
              </w:rPr>
            </w:pPr>
          </w:p>
        </w:tc>
        <w:tc>
          <w:tcPr>
            <w:tcW w:w="3117" w:type="dxa"/>
          </w:tcPr>
          <w:p w14:paraId="46FE52BB" w14:textId="77777777" w:rsidR="00E24318" w:rsidRPr="00803C52" w:rsidRDefault="00E24318" w:rsidP="004A3EE9">
            <w:pPr>
              <w:rPr>
                <w:color w:val="auto"/>
                <w:lang w:val="en-GB"/>
              </w:rPr>
            </w:pPr>
          </w:p>
        </w:tc>
      </w:tr>
      <w:tr w:rsidR="00E24318" w:rsidRPr="00803C52" w14:paraId="53817E6A" w14:textId="77777777" w:rsidTr="004A3EE9">
        <w:tc>
          <w:tcPr>
            <w:tcW w:w="3116" w:type="dxa"/>
          </w:tcPr>
          <w:p w14:paraId="369296E8" w14:textId="77777777" w:rsidR="00E24318" w:rsidRPr="00803C52" w:rsidRDefault="00E24318" w:rsidP="004A3EE9">
            <w:pPr>
              <w:rPr>
                <w:color w:val="auto"/>
                <w:lang w:val="en-GB"/>
              </w:rPr>
            </w:pPr>
          </w:p>
        </w:tc>
        <w:tc>
          <w:tcPr>
            <w:tcW w:w="3117" w:type="dxa"/>
          </w:tcPr>
          <w:p w14:paraId="30B41680" w14:textId="77777777" w:rsidR="00E24318" w:rsidRPr="00803C52" w:rsidRDefault="00E24318" w:rsidP="004A3EE9">
            <w:pPr>
              <w:rPr>
                <w:color w:val="auto"/>
                <w:lang w:val="en-GB"/>
              </w:rPr>
            </w:pPr>
          </w:p>
        </w:tc>
        <w:tc>
          <w:tcPr>
            <w:tcW w:w="3117" w:type="dxa"/>
          </w:tcPr>
          <w:p w14:paraId="07D00CA3" w14:textId="77777777" w:rsidR="00E24318" w:rsidRPr="00803C52" w:rsidRDefault="00E24318" w:rsidP="004A3EE9">
            <w:pPr>
              <w:rPr>
                <w:color w:val="auto"/>
                <w:lang w:val="en-GB"/>
              </w:rPr>
            </w:pPr>
          </w:p>
        </w:tc>
      </w:tr>
      <w:tr w:rsidR="00E24318" w:rsidRPr="00803C52" w14:paraId="0549ABB1" w14:textId="77777777" w:rsidTr="004A3EE9">
        <w:tc>
          <w:tcPr>
            <w:tcW w:w="3116" w:type="dxa"/>
          </w:tcPr>
          <w:p w14:paraId="29DB8100" w14:textId="77777777" w:rsidR="00E24318" w:rsidRPr="00803C52" w:rsidRDefault="00E24318" w:rsidP="004A3EE9">
            <w:pPr>
              <w:rPr>
                <w:color w:val="auto"/>
                <w:lang w:val="en-GB"/>
              </w:rPr>
            </w:pPr>
          </w:p>
        </w:tc>
        <w:tc>
          <w:tcPr>
            <w:tcW w:w="3117" w:type="dxa"/>
          </w:tcPr>
          <w:p w14:paraId="64F0A454" w14:textId="77777777" w:rsidR="00E24318" w:rsidRPr="00803C52" w:rsidRDefault="00E24318" w:rsidP="004A3EE9">
            <w:pPr>
              <w:rPr>
                <w:color w:val="auto"/>
                <w:lang w:val="en-GB"/>
              </w:rPr>
            </w:pPr>
          </w:p>
        </w:tc>
        <w:tc>
          <w:tcPr>
            <w:tcW w:w="3117" w:type="dxa"/>
          </w:tcPr>
          <w:p w14:paraId="7EDD27B8" w14:textId="77777777" w:rsidR="00E24318" w:rsidRPr="00803C52" w:rsidRDefault="00E24318" w:rsidP="004A3EE9">
            <w:pPr>
              <w:rPr>
                <w:color w:val="auto"/>
                <w:lang w:val="en-GB"/>
              </w:rPr>
            </w:pPr>
          </w:p>
        </w:tc>
      </w:tr>
    </w:tbl>
    <w:p w14:paraId="76622065" w14:textId="77777777" w:rsidR="00953667" w:rsidRPr="00115061" w:rsidRDefault="00953667" w:rsidP="00953667">
      <w:pPr>
        <w:pStyle w:val="Heading2"/>
        <w:jc w:val="both"/>
        <w:rPr>
          <w:lang w:val="en-GB"/>
        </w:rPr>
      </w:pPr>
      <w:bookmarkStart w:id="41" w:name="_Toc131084405"/>
      <w:r w:rsidRPr="00115061">
        <w:rPr>
          <w:lang w:val="en-GB"/>
        </w:rPr>
        <w:t>3.4. Pillar IV - Accountability, Integrity and Transparency of the Public Procurement System</w:t>
      </w:r>
      <w:bookmarkEnd w:id="41"/>
      <w:r w:rsidRPr="00115061">
        <w:rPr>
          <w:lang w:val="en-GB"/>
        </w:rPr>
        <w:t xml:space="preserve"> </w:t>
      </w:r>
    </w:p>
    <w:p w14:paraId="1DB812E7" w14:textId="77777777" w:rsidR="00953667" w:rsidRPr="00D635C7" w:rsidRDefault="00953667" w:rsidP="00953667">
      <w:pPr>
        <w:rPr>
          <w:rFonts w:cstheme="minorHAnsi"/>
          <w:lang w:val="en-GB"/>
        </w:rPr>
      </w:pPr>
      <w:r w:rsidRPr="00D635C7">
        <w:rPr>
          <w:rFonts w:cstheme="minorHAnsi"/>
          <w:lang w:val="en-GB"/>
        </w:rPr>
        <w:t xml:space="preserve">The MAPS core methodology, Pillar IV, assesses the integrity of the public procurement system. It reviews the appropriateness of controls and anti-corruption measures and it covers means to enhance transparency. Pillar IV comprises four indicators and a total of seventeen sub-indicators. </w:t>
      </w:r>
    </w:p>
    <w:p w14:paraId="39B9E489" w14:textId="77777777" w:rsidR="00953667" w:rsidRPr="00D635C7" w:rsidRDefault="00953667" w:rsidP="00953667">
      <w:pPr>
        <w:rPr>
          <w:rFonts w:cstheme="minorHAnsi"/>
          <w:lang w:val="en-GB"/>
        </w:rPr>
      </w:pPr>
      <w:r w:rsidRPr="00D635C7">
        <w:rPr>
          <w:rFonts w:cstheme="minorHAnsi"/>
          <w:lang w:val="en-GB"/>
        </w:rPr>
        <w:t>This assessment of professionalisation reviews (1) whether the professionalisation policy considers ethical and accountability; and (2) the existence of mechanisms that support professional integrity in public procurement.</w:t>
      </w:r>
    </w:p>
    <w:p w14:paraId="0C74BAE4" w14:textId="61A9DC25" w:rsidR="00F42F31" w:rsidRPr="00115061" w:rsidRDefault="00953667" w:rsidP="00F42F31">
      <w:pPr>
        <w:pStyle w:val="Heading3"/>
        <w:rPr>
          <w:lang w:val="en-GB"/>
        </w:rPr>
      </w:pPr>
      <w:bookmarkStart w:id="42" w:name="_Toc131084406"/>
      <w:r>
        <w:rPr>
          <w:lang w:val="en-GB"/>
        </w:rPr>
        <w:t>Prof-</w:t>
      </w:r>
      <w:r w:rsidR="00F42F31" w:rsidRPr="00115061">
        <w:rPr>
          <w:lang w:val="en-GB"/>
        </w:rPr>
        <w:t xml:space="preserve">Indicator </w:t>
      </w:r>
      <w:r>
        <w:rPr>
          <w:lang w:val="en-GB"/>
        </w:rPr>
        <w:t>9</w:t>
      </w:r>
      <w:r w:rsidR="00F42F31" w:rsidRPr="00115061">
        <w:rPr>
          <w:lang w:val="en-GB"/>
        </w:rPr>
        <w:t>. The</w:t>
      </w:r>
      <w:r w:rsidR="001E1EA6">
        <w:rPr>
          <w:lang w:val="en-GB"/>
        </w:rPr>
        <w:t xml:space="preserve"> </w:t>
      </w:r>
      <w:r>
        <w:rPr>
          <w:lang w:val="en-GB"/>
        </w:rPr>
        <w:t>professionalisation policy considers ethics and accountability</w:t>
      </w:r>
      <w:bookmarkEnd w:id="42"/>
      <w:r w:rsidR="00F42F31" w:rsidRPr="00115061">
        <w:rPr>
          <w:lang w:val="en-GB"/>
        </w:rPr>
        <w:t xml:space="preserve"> </w:t>
      </w:r>
    </w:p>
    <w:p w14:paraId="05516C42" w14:textId="4C5219D3" w:rsidR="00953667" w:rsidRPr="00953667" w:rsidRDefault="00953667" w:rsidP="00F42F31">
      <w:pPr>
        <w:rPr>
          <w:rFonts w:cstheme="minorHAnsi"/>
          <w:lang w:val="en-GB"/>
        </w:rPr>
      </w:pPr>
      <w:r w:rsidRPr="00D635C7">
        <w:rPr>
          <w:rFonts w:cstheme="minorHAnsi"/>
          <w:lang w:val="en-GB"/>
        </w:rPr>
        <w:t>This indicator evaluates the inclusion of ethical and integrity aspects in the professionalisation policy and plans and the ways in which the policy promotes a culture of management for results and accountability in the profession. There are two sub-indicators (a-b) contributing to this indicator.</w:t>
      </w:r>
    </w:p>
    <w:p w14:paraId="0019DDA3" w14:textId="0D851055" w:rsidR="00E24318" w:rsidRPr="00953667" w:rsidRDefault="00E24318" w:rsidP="00953667">
      <w:pPr>
        <w:pStyle w:val="ListParagraph"/>
        <w:numPr>
          <w:ilvl w:val="0"/>
          <w:numId w:val="2"/>
        </w:numPr>
        <w:rPr>
          <w:b/>
          <w:color w:val="auto"/>
          <w:lang w:val="en-GB"/>
        </w:rPr>
      </w:pPr>
      <w:r w:rsidRPr="00953667">
        <w:rPr>
          <w:b/>
          <w:color w:val="auto"/>
          <w:lang w:val="en-GB"/>
        </w:rPr>
        <w:t>Synthesis of the indicator</w:t>
      </w:r>
    </w:p>
    <w:p w14:paraId="7B585F59" w14:textId="77777777" w:rsidR="00E24318" w:rsidRPr="00803C52" w:rsidRDefault="00E24318" w:rsidP="00E24318">
      <w:pPr>
        <w:ind w:left="360"/>
        <w:rPr>
          <w:b/>
          <w:color w:val="auto"/>
          <w:lang w:val="en-GB"/>
        </w:rPr>
      </w:pPr>
      <w:r w:rsidRPr="00803C52">
        <w:rPr>
          <w:b/>
          <w:color w:val="auto"/>
          <w:lang w:val="en-GB"/>
        </w:rPr>
        <w:t>…</w:t>
      </w:r>
    </w:p>
    <w:p w14:paraId="084ECED3"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52612EB9" w14:textId="77777777" w:rsidR="00E24318" w:rsidRPr="00803C52" w:rsidRDefault="00E24318" w:rsidP="00E24318">
      <w:pPr>
        <w:ind w:firstLine="360"/>
        <w:rPr>
          <w:color w:val="auto"/>
          <w:lang w:val="en-GB"/>
        </w:rPr>
      </w:pPr>
      <w:r w:rsidRPr="00803C52">
        <w:rPr>
          <w:color w:val="auto"/>
          <w:lang w:val="en-GB"/>
        </w:rPr>
        <w:t>…</w:t>
      </w:r>
    </w:p>
    <w:p w14:paraId="754A4047" w14:textId="711D6DD2"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3C90D22A" w14:textId="77777777" w:rsidR="00E24318" w:rsidRPr="00803C52" w:rsidRDefault="00E24318" w:rsidP="00E24318">
      <w:pPr>
        <w:ind w:firstLine="360"/>
        <w:rPr>
          <w:color w:val="auto"/>
          <w:lang w:val="en-GB"/>
        </w:rPr>
      </w:pPr>
      <w:r w:rsidRPr="00803C52">
        <w:rPr>
          <w:color w:val="auto"/>
          <w:lang w:val="en-GB"/>
        </w:rPr>
        <w:t>…</w:t>
      </w:r>
    </w:p>
    <w:p w14:paraId="1ADB5E2A"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6CB840FB" w14:textId="77777777" w:rsidR="00E24318" w:rsidRPr="00803C52" w:rsidRDefault="00E24318" w:rsidP="00E24318">
      <w:pPr>
        <w:ind w:firstLine="360"/>
        <w:rPr>
          <w:color w:val="auto"/>
          <w:lang w:val="en-GB"/>
        </w:rPr>
      </w:pPr>
      <w:r w:rsidRPr="00803C52">
        <w:rPr>
          <w:color w:val="auto"/>
          <w:lang w:val="en-GB"/>
        </w:rPr>
        <w:t>…</w:t>
      </w:r>
    </w:p>
    <w:p w14:paraId="73A1C136" w14:textId="77777777" w:rsidR="00E24318" w:rsidRPr="00803C52" w:rsidRDefault="00E24318" w:rsidP="00E24318">
      <w:pPr>
        <w:rPr>
          <w:color w:val="auto"/>
          <w:lang w:val="en-GB"/>
        </w:rPr>
      </w:pPr>
    </w:p>
    <w:p w14:paraId="1F7E2157" w14:textId="7440B79C" w:rsidR="00E24318" w:rsidRPr="00803C52" w:rsidRDefault="00E24318" w:rsidP="00E24318">
      <w:pPr>
        <w:rPr>
          <w:b/>
          <w:bCs/>
          <w:color w:val="auto"/>
          <w:lang w:val="en-GB"/>
        </w:rPr>
      </w:pPr>
      <w:r w:rsidRPr="00803C52">
        <w:rPr>
          <w:b/>
          <w:bCs/>
          <w:color w:val="auto"/>
          <w:lang w:val="en-GB"/>
        </w:rPr>
        <w:t>Summary of substantive gaps and recommendations of</w:t>
      </w:r>
      <w:r w:rsidR="001E1EA6">
        <w:rPr>
          <w:b/>
          <w:bCs/>
          <w:color w:val="auto"/>
          <w:lang w:val="en-GB"/>
        </w:rPr>
        <w:t xml:space="preserve"> </w:t>
      </w:r>
      <w:r w:rsidR="00953667">
        <w:rPr>
          <w:b/>
          <w:bCs/>
          <w:color w:val="auto"/>
          <w:lang w:val="en-GB"/>
        </w:rPr>
        <w:t>Prof-</w:t>
      </w:r>
      <w:r w:rsidRPr="00803C52">
        <w:rPr>
          <w:b/>
          <w:bCs/>
          <w:color w:val="auto"/>
          <w:lang w:val="en-GB"/>
        </w:rPr>
        <w:t xml:space="preserve">Indicator </w:t>
      </w:r>
      <w:r w:rsidR="00953667">
        <w:rPr>
          <w:b/>
          <w:bCs/>
          <w:color w:val="auto"/>
          <w:lang w:val="en-GB"/>
        </w:rPr>
        <w:t>9</w:t>
      </w:r>
    </w:p>
    <w:tbl>
      <w:tblPr>
        <w:tblStyle w:val="TableGrid"/>
        <w:tblW w:w="0" w:type="auto"/>
        <w:tblLook w:val="04A0" w:firstRow="1" w:lastRow="0" w:firstColumn="1" w:lastColumn="0" w:noHBand="0" w:noVBand="1"/>
      </w:tblPr>
      <w:tblGrid>
        <w:gridCol w:w="3116"/>
        <w:gridCol w:w="3117"/>
        <w:gridCol w:w="3117"/>
      </w:tblGrid>
      <w:tr w:rsidR="00E24318" w:rsidRPr="00803C52" w14:paraId="18CF8069" w14:textId="77777777" w:rsidTr="004A3EE9">
        <w:tc>
          <w:tcPr>
            <w:tcW w:w="3116" w:type="dxa"/>
            <w:shd w:val="clear" w:color="auto" w:fill="DADADA" w:themeFill="background2" w:themeFillShade="E6"/>
          </w:tcPr>
          <w:p w14:paraId="44D1CFA9" w14:textId="77777777" w:rsidR="00E24318" w:rsidRPr="00803C52" w:rsidRDefault="00E24318" w:rsidP="004A3EE9">
            <w:pPr>
              <w:rPr>
                <w:b/>
                <w:bCs/>
                <w:color w:val="auto"/>
                <w:lang w:val="en-GB"/>
              </w:rPr>
            </w:pPr>
            <w:r w:rsidRPr="00803C52">
              <w:rPr>
                <w:b/>
                <w:bCs/>
                <w:color w:val="auto"/>
                <w:lang w:val="en-GB"/>
              </w:rPr>
              <w:lastRenderedPageBreak/>
              <w:t>Substantive gap</w:t>
            </w:r>
          </w:p>
        </w:tc>
        <w:tc>
          <w:tcPr>
            <w:tcW w:w="3117" w:type="dxa"/>
            <w:shd w:val="clear" w:color="auto" w:fill="DADADA" w:themeFill="background2" w:themeFillShade="E6"/>
          </w:tcPr>
          <w:p w14:paraId="4018640E"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02C348E1"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4F275249" w14:textId="77777777" w:rsidTr="004A3EE9">
        <w:tc>
          <w:tcPr>
            <w:tcW w:w="3116" w:type="dxa"/>
          </w:tcPr>
          <w:p w14:paraId="6B7DF71D" w14:textId="77777777" w:rsidR="00E24318" w:rsidRPr="00803C52" w:rsidRDefault="00E24318" w:rsidP="004A3EE9">
            <w:pPr>
              <w:rPr>
                <w:color w:val="auto"/>
                <w:lang w:val="en-GB"/>
              </w:rPr>
            </w:pPr>
          </w:p>
        </w:tc>
        <w:tc>
          <w:tcPr>
            <w:tcW w:w="3117" w:type="dxa"/>
          </w:tcPr>
          <w:p w14:paraId="5A7E0281" w14:textId="77777777" w:rsidR="00E24318" w:rsidRPr="00803C52" w:rsidRDefault="00E24318" w:rsidP="004A3EE9">
            <w:pPr>
              <w:rPr>
                <w:color w:val="auto"/>
                <w:lang w:val="en-GB"/>
              </w:rPr>
            </w:pPr>
          </w:p>
        </w:tc>
        <w:tc>
          <w:tcPr>
            <w:tcW w:w="3117" w:type="dxa"/>
          </w:tcPr>
          <w:p w14:paraId="2F32E927" w14:textId="77777777" w:rsidR="00E24318" w:rsidRPr="00803C52" w:rsidRDefault="00E24318" w:rsidP="004A3EE9">
            <w:pPr>
              <w:rPr>
                <w:color w:val="auto"/>
                <w:lang w:val="en-GB"/>
              </w:rPr>
            </w:pPr>
          </w:p>
        </w:tc>
      </w:tr>
      <w:tr w:rsidR="00E24318" w:rsidRPr="00803C52" w14:paraId="031F2517" w14:textId="77777777" w:rsidTr="004A3EE9">
        <w:tc>
          <w:tcPr>
            <w:tcW w:w="3116" w:type="dxa"/>
          </w:tcPr>
          <w:p w14:paraId="328CA18C" w14:textId="77777777" w:rsidR="00E24318" w:rsidRPr="00803C52" w:rsidRDefault="00E24318" w:rsidP="004A3EE9">
            <w:pPr>
              <w:rPr>
                <w:color w:val="auto"/>
                <w:lang w:val="en-GB"/>
              </w:rPr>
            </w:pPr>
          </w:p>
        </w:tc>
        <w:tc>
          <w:tcPr>
            <w:tcW w:w="3117" w:type="dxa"/>
          </w:tcPr>
          <w:p w14:paraId="581E4855" w14:textId="77777777" w:rsidR="00E24318" w:rsidRPr="00803C52" w:rsidRDefault="00E24318" w:rsidP="004A3EE9">
            <w:pPr>
              <w:rPr>
                <w:color w:val="auto"/>
                <w:lang w:val="en-GB"/>
              </w:rPr>
            </w:pPr>
          </w:p>
        </w:tc>
        <w:tc>
          <w:tcPr>
            <w:tcW w:w="3117" w:type="dxa"/>
          </w:tcPr>
          <w:p w14:paraId="1CC9C1DE" w14:textId="77777777" w:rsidR="00E24318" w:rsidRPr="00803C52" w:rsidRDefault="00E24318" w:rsidP="004A3EE9">
            <w:pPr>
              <w:rPr>
                <w:color w:val="auto"/>
                <w:lang w:val="en-GB"/>
              </w:rPr>
            </w:pPr>
          </w:p>
        </w:tc>
      </w:tr>
      <w:tr w:rsidR="00E24318" w:rsidRPr="00803C52" w14:paraId="697A17B7" w14:textId="77777777" w:rsidTr="004A3EE9">
        <w:tc>
          <w:tcPr>
            <w:tcW w:w="3116" w:type="dxa"/>
          </w:tcPr>
          <w:p w14:paraId="5CDE82C0" w14:textId="77777777" w:rsidR="00E24318" w:rsidRPr="00803C52" w:rsidRDefault="00E24318" w:rsidP="004A3EE9">
            <w:pPr>
              <w:rPr>
                <w:color w:val="auto"/>
                <w:lang w:val="en-GB"/>
              </w:rPr>
            </w:pPr>
          </w:p>
        </w:tc>
        <w:tc>
          <w:tcPr>
            <w:tcW w:w="3117" w:type="dxa"/>
          </w:tcPr>
          <w:p w14:paraId="5F4ADDB6" w14:textId="77777777" w:rsidR="00E24318" w:rsidRPr="00803C52" w:rsidRDefault="00E24318" w:rsidP="004A3EE9">
            <w:pPr>
              <w:rPr>
                <w:color w:val="auto"/>
                <w:lang w:val="en-GB"/>
              </w:rPr>
            </w:pPr>
          </w:p>
        </w:tc>
        <w:tc>
          <w:tcPr>
            <w:tcW w:w="3117" w:type="dxa"/>
          </w:tcPr>
          <w:p w14:paraId="5628776B" w14:textId="77777777" w:rsidR="00E24318" w:rsidRPr="00803C52" w:rsidRDefault="00E24318" w:rsidP="004A3EE9">
            <w:pPr>
              <w:rPr>
                <w:color w:val="auto"/>
                <w:lang w:val="en-GB"/>
              </w:rPr>
            </w:pPr>
          </w:p>
        </w:tc>
      </w:tr>
      <w:tr w:rsidR="00E24318" w:rsidRPr="00803C52" w14:paraId="6E777CC3" w14:textId="77777777" w:rsidTr="004A3EE9">
        <w:tc>
          <w:tcPr>
            <w:tcW w:w="3116" w:type="dxa"/>
          </w:tcPr>
          <w:p w14:paraId="0BECAB23" w14:textId="77777777" w:rsidR="00E24318" w:rsidRPr="00803C52" w:rsidRDefault="00E24318" w:rsidP="004A3EE9">
            <w:pPr>
              <w:rPr>
                <w:color w:val="auto"/>
                <w:lang w:val="en-GB"/>
              </w:rPr>
            </w:pPr>
          </w:p>
        </w:tc>
        <w:tc>
          <w:tcPr>
            <w:tcW w:w="3117" w:type="dxa"/>
          </w:tcPr>
          <w:p w14:paraId="116E2786" w14:textId="77777777" w:rsidR="00E24318" w:rsidRPr="00803C52" w:rsidRDefault="00E24318" w:rsidP="004A3EE9">
            <w:pPr>
              <w:rPr>
                <w:color w:val="auto"/>
                <w:lang w:val="en-GB"/>
              </w:rPr>
            </w:pPr>
          </w:p>
        </w:tc>
        <w:tc>
          <w:tcPr>
            <w:tcW w:w="3117" w:type="dxa"/>
          </w:tcPr>
          <w:p w14:paraId="49EEEFEF" w14:textId="77777777" w:rsidR="00E24318" w:rsidRPr="00803C52" w:rsidRDefault="00E24318" w:rsidP="004A3EE9">
            <w:pPr>
              <w:rPr>
                <w:color w:val="auto"/>
                <w:lang w:val="en-GB"/>
              </w:rPr>
            </w:pPr>
          </w:p>
        </w:tc>
      </w:tr>
    </w:tbl>
    <w:p w14:paraId="0C74BAEF" w14:textId="6432FCE1" w:rsidR="00F42F31" w:rsidRPr="00115061" w:rsidRDefault="00953667" w:rsidP="00F42F31">
      <w:pPr>
        <w:pStyle w:val="Heading3"/>
        <w:jc w:val="both"/>
        <w:rPr>
          <w:lang w:val="en-GB"/>
        </w:rPr>
      </w:pPr>
      <w:bookmarkStart w:id="43" w:name="_Toc131084407"/>
      <w:r>
        <w:rPr>
          <w:lang w:val="en-GB"/>
        </w:rPr>
        <w:t>Prof-</w:t>
      </w:r>
      <w:r w:rsidR="00F42F31" w:rsidRPr="00115061">
        <w:rPr>
          <w:lang w:val="en-GB"/>
        </w:rPr>
        <w:t>Indicator 1</w:t>
      </w:r>
      <w:r>
        <w:rPr>
          <w:lang w:val="en-GB"/>
        </w:rPr>
        <w:t>0</w:t>
      </w:r>
      <w:r w:rsidR="00F42F31" w:rsidRPr="00115061">
        <w:rPr>
          <w:lang w:val="en-GB"/>
        </w:rPr>
        <w:t xml:space="preserve">. </w:t>
      </w:r>
      <w:r>
        <w:rPr>
          <w:lang w:val="en-GB"/>
        </w:rPr>
        <w:t>The country has mechanisms that support professional integrity in public procurement</w:t>
      </w:r>
      <w:bookmarkEnd w:id="43"/>
    </w:p>
    <w:p w14:paraId="64AF3E6C" w14:textId="77777777" w:rsidR="00953667" w:rsidRPr="00D635C7" w:rsidRDefault="00953667" w:rsidP="00953667">
      <w:pPr>
        <w:rPr>
          <w:rFonts w:cstheme="minorHAnsi"/>
          <w:lang w:val="en-GB"/>
        </w:rPr>
      </w:pPr>
      <w:r w:rsidRPr="00D635C7">
        <w:rPr>
          <w:rFonts w:cstheme="minorHAnsi"/>
          <w:lang w:val="en-GB"/>
        </w:rPr>
        <w:t xml:space="preserve">This indicator evaluates the existence of mechanisms that support professional integrity in public procurement and that sanction unethical conduct by procurement professionals. </w:t>
      </w:r>
    </w:p>
    <w:p w14:paraId="04B3D67B" w14:textId="365DC959" w:rsidR="00953667" w:rsidRPr="00953667" w:rsidRDefault="00953667" w:rsidP="001E1EA6">
      <w:pPr>
        <w:rPr>
          <w:rFonts w:cstheme="minorHAnsi"/>
          <w:lang w:val="en-GB"/>
        </w:rPr>
      </w:pPr>
      <w:r w:rsidRPr="00D635C7">
        <w:rPr>
          <w:rFonts w:cstheme="minorHAnsi"/>
          <w:lang w:val="en-GB"/>
        </w:rPr>
        <w:t>In many cases, these mechanisms will be integrated into the general national fiscal control system, and in others will be part of the supervisory mechanisms established by the procurement normative/regulatory function, or a combination of both, so the assessors could find that the required information coincides with that raised for the evaluation of Indicator 12 of the core methodology.</w:t>
      </w:r>
    </w:p>
    <w:p w14:paraId="170ED55D"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2F1C04CA" w14:textId="77777777" w:rsidR="00E24318" w:rsidRPr="00803C52" w:rsidRDefault="00E24318" w:rsidP="00E24318">
      <w:pPr>
        <w:ind w:left="360"/>
        <w:rPr>
          <w:b/>
          <w:color w:val="auto"/>
          <w:lang w:val="en-GB"/>
        </w:rPr>
      </w:pPr>
      <w:r w:rsidRPr="00803C52">
        <w:rPr>
          <w:b/>
          <w:color w:val="auto"/>
          <w:lang w:val="en-GB"/>
        </w:rPr>
        <w:t>…</w:t>
      </w:r>
    </w:p>
    <w:p w14:paraId="60F0861C"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0655BA04" w14:textId="77777777" w:rsidR="00E24318" w:rsidRPr="00803C52" w:rsidRDefault="00E24318" w:rsidP="00E24318">
      <w:pPr>
        <w:ind w:firstLine="360"/>
        <w:rPr>
          <w:color w:val="auto"/>
          <w:lang w:val="en-GB"/>
        </w:rPr>
      </w:pPr>
      <w:r w:rsidRPr="00803C52">
        <w:rPr>
          <w:color w:val="auto"/>
          <w:lang w:val="en-GB"/>
        </w:rPr>
        <w:t>…</w:t>
      </w:r>
    </w:p>
    <w:p w14:paraId="21CDD6C4" w14:textId="70EC172F"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70B4D03A" w14:textId="77777777" w:rsidR="00E24318" w:rsidRPr="00803C52" w:rsidRDefault="00E24318" w:rsidP="00E24318">
      <w:pPr>
        <w:ind w:firstLine="360"/>
        <w:rPr>
          <w:color w:val="auto"/>
          <w:lang w:val="en-GB"/>
        </w:rPr>
      </w:pPr>
      <w:r w:rsidRPr="00803C52">
        <w:rPr>
          <w:color w:val="auto"/>
          <w:lang w:val="en-GB"/>
        </w:rPr>
        <w:t>…</w:t>
      </w:r>
    </w:p>
    <w:p w14:paraId="63A535A8"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54086025" w14:textId="77777777" w:rsidR="00E24318" w:rsidRPr="00803C52" w:rsidRDefault="00E24318" w:rsidP="00E24318">
      <w:pPr>
        <w:ind w:firstLine="360"/>
        <w:rPr>
          <w:color w:val="auto"/>
          <w:lang w:val="en-GB"/>
        </w:rPr>
      </w:pPr>
      <w:r w:rsidRPr="00803C52">
        <w:rPr>
          <w:color w:val="auto"/>
          <w:lang w:val="en-GB"/>
        </w:rPr>
        <w:t>…</w:t>
      </w:r>
    </w:p>
    <w:p w14:paraId="605D5DC8" w14:textId="77777777" w:rsidR="00E24318" w:rsidRPr="00803C52" w:rsidRDefault="00E24318" w:rsidP="00E24318">
      <w:pPr>
        <w:rPr>
          <w:color w:val="auto"/>
          <w:lang w:val="en-GB"/>
        </w:rPr>
      </w:pPr>
    </w:p>
    <w:p w14:paraId="78E3A289" w14:textId="433F0C2C" w:rsidR="00E24318" w:rsidRPr="00803C52" w:rsidRDefault="00E24318" w:rsidP="00E24318">
      <w:pPr>
        <w:rPr>
          <w:b/>
          <w:bCs/>
          <w:color w:val="auto"/>
          <w:lang w:val="en-GB"/>
        </w:rPr>
      </w:pPr>
      <w:r w:rsidRPr="00803C52">
        <w:rPr>
          <w:b/>
          <w:bCs/>
          <w:color w:val="auto"/>
          <w:lang w:val="en-GB"/>
        </w:rPr>
        <w:t xml:space="preserve">Summary of substantive gaps and recommendations of </w:t>
      </w:r>
      <w:r w:rsidR="00953667">
        <w:rPr>
          <w:b/>
          <w:bCs/>
          <w:color w:val="auto"/>
          <w:lang w:val="en-GB"/>
        </w:rPr>
        <w:t>Prof-</w:t>
      </w:r>
      <w:r w:rsidRPr="00803C52">
        <w:rPr>
          <w:b/>
          <w:bCs/>
          <w:color w:val="auto"/>
          <w:lang w:val="en-GB"/>
        </w:rPr>
        <w:t>Indicator 1</w:t>
      </w:r>
      <w:r w:rsidR="00953667">
        <w:rPr>
          <w:b/>
          <w:bCs/>
          <w:color w:val="auto"/>
          <w:lang w:val="en-GB"/>
        </w:rPr>
        <w:t>0</w:t>
      </w:r>
    </w:p>
    <w:tbl>
      <w:tblPr>
        <w:tblStyle w:val="TableGrid"/>
        <w:tblW w:w="0" w:type="auto"/>
        <w:tblLook w:val="04A0" w:firstRow="1" w:lastRow="0" w:firstColumn="1" w:lastColumn="0" w:noHBand="0" w:noVBand="1"/>
      </w:tblPr>
      <w:tblGrid>
        <w:gridCol w:w="3116"/>
        <w:gridCol w:w="3117"/>
        <w:gridCol w:w="3117"/>
      </w:tblGrid>
      <w:tr w:rsidR="00E24318" w:rsidRPr="00803C52" w14:paraId="6C256F11" w14:textId="77777777" w:rsidTr="004A3EE9">
        <w:tc>
          <w:tcPr>
            <w:tcW w:w="3116" w:type="dxa"/>
            <w:shd w:val="clear" w:color="auto" w:fill="DADADA" w:themeFill="background2" w:themeFillShade="E6"/>
          </w:tcPr>
          <w:p w14:paraId="4FDF5CA7"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46F24850"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57CCF024"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62A8F829" w14:textId="77777777" w:rsidTr="004A3EE9">
        <w:tc>
          <w:tcPr>
            <w:tcW w:w="3116" w:type="dxa"/>
          </w:tcPr>
          <w:p w14:paraId="7322BEC8" w14:textId="77777777" w:rsidR="00E24318" w:rsidRPr="00803C52" w:rsidRDefault="00E24318" w:rsidP="004A3EE9">
            <w:pPr>
              <w:rPr>
                <w:color w:val="auto"/>
                <w:lang w:val="en-GB"/>
              </w:rPr>
            </w:pPr>
          </w:p>
        </w:tc>
        <w:tc>
          <w:tcPr>
            <w:tcW w:w="3117" w:type="dxa"/>
          </w:tcPr>
          <w:p w14:paraId="16FDF62B" w14:textId="77777777" w:rsidR="00E24318" w:rsidRPr="00803C52" w:rsidRDefault="00E24318" w:rsidP="004A3EE9">
            <w:pPr>
              <w:rPr>
                <w:color w:val="auto"/>
                <w:lang w:val="en-GB"/>
              </w:rPr>
            </w:pPr>
          </w:p>
        </w:tc>
        <w:tc>
          <w:tcPr>
            <w:tcW w:w="3117" w:type="dxa"/>
          </w:tcPr>
          <w:p w14:paraId="27D99EAC" w14:textId="77777777" w:rsidR="00E24318" w:rsidRPr="00803C52" w:rsidRDefault="00E24318" w:rsidP="004A3EE9">
            <w:pPr>
              <w:rPr>
                <w:color w:val="auto"/>
                <w:lang w:val="en-GB"/>
              </w:rPr>
            </w:pPr>
          </w:p>
        </w:tc>
      </w:tr>
      <w:tr w:rsidR="00E24318" w:rsidRPr="00803C52" w14:paraId="04FEDCBA" w14:textId="77777777" w:rsidTr="004A3EE9">
        <w:tc>
          <w:tcPr>
            <w:tcW w:w="3116" w:type="dxa"/>
          </w:tcPr>
          <w:p w14:paraId="07452845" w14:textId="77777777" w:rsidR="00E24318" w:rsidRPr="00803C52" w:rsidRDefault="00E24318" w:rsidP="004A3EE9">
            <w:pPr>
              <w:rPr>
                <w:color w:val="auto"/>
                <w:lang w:val="en-GB"/>
              </w:rPr>
            </w:pPr>
          </w:p>
        </w:tc>
        <w:tc>
          <w:tcPr>
            <w:tcW w:w="3117" w:type="dxa"/>
          </w:tcPr>
          <w:p w14:paraId="03269DB6" w14:textId="77777777" w:rsidR="00E24318" w:rsidRPr="00803C52" w:rsidRDefault="00E24318" w:rsidP="004A3EE9">
            <w:pPr>
              <w:rPr>
                <w:color w:val="auto"/>
                <w:lang w:val="en-GB"/>
              </w:rPr>
            </w:pPr>
          </w:p>
        </w:tc>
        <w:tc>
          <w:tcPr>
            <w:tcW w:w="3117" w:type="dxa"/>
          </w:tcPr>
          <w:p w14:paraId="7B7CFCE5" w14:textId="77777777" w:rsidR="00E24318" w:rsidRPr="00803C52" w:rsidRDefault="00E24318" w:rsidP="004A3EE9">
            <w:pPr>
              <w:rPr>
                <w:color w:val="auto"/>
                <w:lang w:val="en-GB"/>
              </w:rPr>
            </w:pPr>
          </w:p>
        </w:tc>
      </w:tr>
      <w:tr w:rsidR="00E24318" w:rsidRPr="00803C52" w14:paraId="52C39D49" w14:textId="77777777" w:rsidTr="004A3EE9">
        <w:tc>
          <w:tcPr>
            <w:tcW w:w="3116" w:type="dxa"/>
          </w:tcPr>
          <w:p w14:paraId="4066759B" w14:textId="77777777" w:rsidR="00E24318" w:rsidRPr="00803C52" w:rsidRDefault="00E24318" w:rsidP="004A3EE9">
            <w:pPr>
              <w:rPr>
                <w:color w:val="auto"/>
                <w:lang w:val="en-GB"/>
              </w:rPr>
            </w:pPr>
          </w:p>
        </w:tc>
        <w:tc>
          <w:tcPr>
            <w:tcW w:w="3117" w:type="dxa"/>
          </w:tcPr>
          <w:p w14:paraId="35BA9154" w14:textId="77777777" w:rsidR="00E24318" w:rsidRPr="00803C52" w:rsidRDefault="00E24318" w:rsidP="004A3EE9">
            <w:pPr>
              <w:rPr>
                <w:color w:val="auto"/>
                <w:lang w:val="en-GB"/>
              </w:rPr>
            </w:pPr>
          </w:p>
        </w:tc>
        <w:tc>
          <w:tcPr>
            <w:tcW w:w="3117" w:type="dxa"/>
          </w:tcPr>
          <w:p w14:paraId="51660B12" w14:textId="77777777" w:rsidR="00E24318" w:rsidRPr="00803C52" w:rsidRDefault="00E24318" w:rsidP="004A3EE9">
            <w:pPr>
              <w:rPr>
                <w:color w:val="auto"/>
                <w:lang w:val="en-GB"/>
              </w:rPr>
            </w:pPr>
          </w:p>
        </w:tc>
      </w:tr>
      <w:tr w:rsidR="00E24318" w:rsidRPr="00803C52" w14:paraId="43D63114" w14:textId="77777777" w:rsidTr="004A3EE9">
        <w:tc>
          <w:tcPr>
            <w:tcW w:w="3116" w:type="dxa"/>
          </w:tcPr>
          <w:p w14:paraId="3575DB01" w14:textId="77777777" w:rsidR="00E24318" w:rsidRPr="00803C52" w:rsidRDefault="00E24318" w:rsidP="004A3EE9">
            <w:pPr>
              <w:rPr>
                <w:color w:val="auto"/>
                <w:lang w:val="en-GB"/>
              </w:rPr>
            </w:pPr>
          </w:p>
        </w:tc>
        <w:tc>
          <w:tcPr>
            <w:tcW w:w="3117" w:type="dxa"/>
          </w:tcPr>
          <w:p w14:paraId="055F74E8" w14:textId="77777777" w:rsidR="00E24318" w:rsidRPr="00803C52" w:rsidRDefault="00E24318" w:rsidP="004A3EE9">
            <w:pPr>
              <w:rPr>
                <w:color w:val="auto"/>
                <w:lang w:val="en-GB"/>
              </w:rPr>
            </w:pPr>
          </w:p>
        </w:tc>
        <w:tc>
          <w:tcPr>
            <w:tcW w:w="3117" w:type="dxa"/>
          </w:tcPr>
          <w:p w14:paraId="3A149CF5" w14:textId="77777777" w:rsidR="00E24318" w:rsidRPr="00803C52" w:rsidRDefault="00E24318" w:rsidP="004A3EE9">
            <w:pPr>
              <w:rPr>
                <w:color w:val="auto"/>
                <w:lang w:val="en-GB"/>
              </w:rPr>
            </w:pPr>
          </w:p>
        </w:tc>
      </w:tr>
    </w:tbl>
    <w:p w14:paraId="0C74BB13" w14:textId="26890E97" w:rsidR="0053036B" w:rsidRPr="00115061" w:rsidRDefault="00953667" w:rsidP="0053036B">
      <w:pPr>
        <w:pStyle w:val="Heading1"/>
        <w:rPr>
          <w:lang w:val="en-GB"/>
        </w:rPr>
      </w:pPr>
      <w:bookmarkStart w:id="44" w:name="_Toc131084408"/>
      <w:r>
        <w:rPr>
          <w:lang w:val="en-GB"/>
        </w:rPr>
        <w:t>4</w:t>
      </w:r>
      <w:r w:rsidR="0053036B" w:rsidRPr="00115061">
        <w:rPr>
          <w:lang w:val="en-GB"/>
        </w:rPr>
        <w:t>. Consolidated Recommendations</w:t>
      </w:r>
      <w:bookmarkEnd w:id="44"/>
    </w:p>
    <w:p w14:paraId="0C74BB14" w14:textId="5084F9EC" w:rsidR="0053036B" w:rsidRPr="00115061" w:rsidRDefault="003A2345" w:rsidP="0053036B">
      <w:pPr>
        <w:tabs>
          <w:tab w:val="left" w:pos="2565"/>
        </w:tabs>
        <w:rPr>
          <w:b/>
          <w:bCs/>
          <w:lang w:val="en-GB"/>
        </w:rPr>
      </w:pPr>
      <w:commentRangeStart w:id="45"/>
      <w:r>
        <w:rPr>
          <w:b/>
          <w:bCs/>
          <w:lang w:val="en-GB"/>
        </w:rPr>
        <w:t>…</w:t>
      </w:r>
      <w:commentRangeEnd w:id="45"/>
      <w:r>
        <w:rPr>
          <w:rStyle w:val="CommentReference"/>
        </w:rPr>
        <w:commentReference w:id="45"/>
      </w:r>
    </w:p>
    <w:p w14:paraId="0C74BB15" w14:textId="36929A35" w:rsidR="0053036B" w:rsidRDefault="0053036B" w:rsidP="0053036B">
      <w:pPr>
        <w:pStyle w:val="Heading1"/>
        <w:rPr>
          <w:lang w:val="en-GB"/>
        </w:rPr>
      </w:pPr>
      <w:bookmarkStart w:id="46" w:name="_Toc131084409"/>
      <w:r w:rsidRPr="00115061">
        <w:rPr>
          <w:lang w:val="en-GB"/>
        </w:rPr>
        <w:lastRenderedPageBreak/>
        <w:t>5. Strategic Planning</w:t>
      </w:r>
      <w:bookmarkEnd w:id="46"/>
    </w:p>
    <w:p w14:paraId="3132BA52" w14:textId="6324B202" w:rsidR="003A2345" w:rsidRDefault="003A2345" w:rsidP="003A2345">
      <w:pPr>
        <w:rPr>
          <w:lang w:val="en-GB"/>
        </w:rPr>
      </w:pPr>
      <w:commentRangeStart w:id="47"/>
      <w:r>
        <w:rPr>
          <w:lang w:val="en-GB"/>
        </w:rPr>
        <w:t>…</w:t>
      </w:r>
      <w:commentRangeEnd w:id="47"/>
      <w:r w:rsidR="00CF5BBB">
        <w:rPr>
          <w:rStyle w:val="CommentReference"/>
        </w:rPr>
        <w:commentReference w:id="47"/>
      </w:r>
    </w:p>
    <w:tbl>
      <w:tblPr>
        <w:tblStyle w:val="TableGrid"/>
        <w:tblW w:w="0" w:type="auto"/>
        <w:tblLook w:val="04A0" w:firstRow="1" w:lastRow="0" w:firstColumn="1" w:lastColumn="0" w:noHBand="0" w:noVBand="1"/>
      </w:tblPr>
      <w:tblGrid>
        <w:gridCol w:w="4390"/>
        <w:gridCol w:w="2409"/>
        <w:gridCol w:w="2551"/>
      </w:tblGrid>
      <w:tr w:rsidR="00FE2851" w:rsidRPr="00803C52" w14:paraId="4B380E75" w14:textId="77777777" w:rsidTr="00CF5BBB">
        <w:tc>
          <w:tcPr>
            <w:tcW w:w="4390" w:type="dxa"/>
            <w:shd w:val="clear" w:color="auto" w:fill="DADADA" w:themeFill="background2" w:themeFillShade="E6"/>
          </w:tcPr>
          <w:p w14:paraId="25251E88" w14:textId="08F67B16" w:rsidR="00FE2851" w:rsidRPr="00803C52" w:rsidRDefault="00FE2851" w:rsidP="004A3EE9">
            <w:pPr>
              <w:rPr>
                <w:b/>
                <w:bCs/>
                <w:color w:val="auto"/>
                <w:lang w:val="en-GB"/>
              </w:rPr>
            </w:pPr>
            <w:r>
              <w:rPr>
                <w:b/>
                <w:bCs/>
                <w:color w:val="auto"/>
                <w:lang w:val="en-GB"/>
              </w:rPr>
              <w:t>Proposed action</w:t>
            </w:r>
          </w:p>
        </w:tc>
        <w:tc>
          <w:tcPr>
            <w:tcW w:w="2409" w:type="dxa"/>
            <w:shd w:val="clear" w:color="auto" w:fill="DADADA" w:themeFill="background2" w:themeFillShade="E6"/>
          </w:tcPr>
          <w:p w14:paraId="1C111376" w14:textId="2C76B4AC" w:rsidR="00FE2851" w:rsidRPr="00803C52" w:rsidRDefault="00FE2851" w:rsidP="004A3EE9">
            <w:pPr>
              <w:rPr>
                <w:b/>
                <w:bCs/>
                <w:color w:val="auto"/>
                <w:lang w:val="en-GB"/>
              </w:rPr>
            </w:pPr>
            <w:r>
              <w:rPr>
                <w:b/>
                <w:bCs/>
                <w:color w:val="auto"/>
                <w:lang w:val="en-GB"/>
              </w:rPr>
              <w:t>Timeline</w:t>
            </w:r>
          </w:p>
        </w:tc>
        <w:tc>
          <w:tcPr>
            <w:tcW w:w="2551" w:type="dxa"/>
            <w:shd w:val="clear" w:color="auto" w:fill="DADADA" w:themeFill="background2" w:themeFillShade="E6"/>
          </w:tcPr>
          <w:p w14:paraId="5624575A" w14:textId="529399D6" w:rsidR="00FE2851" w:rsidRPr="00803C52" w:rsidRDefault="00FE2851" w:rsidP="004A3EE9">
            <w:pPr>
              <w:rPr>
                <w:b/>
                <w:bCs/>
                <w:color w:val="auto"/>
                <w:lang w:val="en-GB"/>
              </w:rPr>
            </w:pPr>
            <w:r>
              <w:rPr>
                <w:b/>
                <w:bCs/>
                <w:color w:val="auto"/>
                <w:lang w:val="en-GB"/>
              </w:rPr>
              <w:t>Responsible institutions</w:t>
            </w:r>
          </w:p>
        </w:tc>
      </w:tr>
      <w:tr w:rsidR="00FE2851" w:rsidRPr="00803C52" w14:paraId="57535AFA" w14:textId="77777777" w:rsidTr="00CF5BBB">
        <w:tc>
          <w:tcPr>
            <w:tcW w:w="4390" w:type="dxa"/>
          </w:tcPr>
          <w:p w14:paraId="408F7486" w14:textId="77777777" w:rsidR="00FE2851" w:rsidRPr="00803C52" w:rsidRDefault="00FE2851" w:rsidP="004A3EE9">
            <w:pPr>
              <w:rPr>
                <w:color w:val="auto"/>
                <w:lang w:val="en-GB"/>
              </w:rPr>
            </w:pPr>
          </w:p>
        </w:tc>
        <w:tc>
          <w:tcPr>
            <w:tcW w:w="2409" w:type="dxa"/>
          </w:tcPr>
          <w:p w14:paraId="5A76003C" w14:textId="77777777" w:rsidR="00FE2851" w:rsidRPr="00803C52" w:rsidRDefault="00FE2851" w:rsidP="004A3EE9">
            <w:pPr>
              <w:rPr>
                <w:color w:val="auto"/>
                <w:lang w:val="en-GB"/>
              </w:rPr>
            </w:pPr>
          </w:p>
        </w:tc>
        <w:tc>
          <w:tcPr>
            <w:tcW w:w="2551" w:type="dxa"/>
          </w:tcPr>
          <w:p w14:paraId="7BF3E98A" w14:textId="77777777" w:rsidR="00FE2851" w:rsidRPr="00803C52" w:rsidRDefault="00FE2851" w:rsidP="004A3EE9">
            <w:pPr>
              <w:rPr>
                <w:color w:val="auto"/>
                <w:lang w:val="en-GB"/>
              </w:rPr>
            </w:pPr>
          </w:p>
        </w:tc>
      </w:tr>
      <w:tr w:rsidR="00CF5BBB" w:rsidRPr="00803C52" w14:paraId="1419FC53" w14:textId="77777777" w:rsidTr="00CF5BBB">
        <w:tc>
          <w:tcPr>
            <w:tcW w:w="4390" w:type="dxa"/>
          </w:tcPr>
          <w:p w14:paraId="7C9D8F0E" w14:textId="77777777" w:rsidR="00CF5BBB" w:rsidRPr="00803C52" w:rsidRDefault="00CF5BBB" w:rsidP="004A3EE9">
            <w:pPr>
              <w:rPr>
                <w:color w:val="auto"/>
                <w:lang w:val="en-GB"/>
              </w:rPr>
            </w:pPr>
          </w:p>
        </w:tc>
        <w:tc>
          <w:tcPr>
            <w:tcW w:w="2409" w:type="dxa"/>
          </w:tcPr>
          <w:p w14:paraId="4386003A" w14:textId="77777777" w:rsidR="00CF5BBB" w:rsidRPr="00803C52" w:rsidRDefault="00CF5BBB" w:rsidP="004A3EE9">
            <w:pPr>
              <w:rPr>
                <w:color w:val="auto"/>
                <w:lang w:val="en-GB"/>
              </w:rPr>
            </w:pPr>
          </w:p>
        </w:tc>
        <w:tc>
          <w:tcPr>
            <w:tcW w:w="2551" w:type="dxa"/>
          </w:tcPr>
          <w:p w14:paraId="06C37988" w14:textId="77777777" w:rsidR="00CF5BBB" w:rsidRPr="00803C52" w:rsidRDefault="00CF5BBB" w:rsidP="004A3EE9">
            <w:pPr>
              <w:rPr>
                <w:color w:val="auto"/>
                <w:lang w:val="en-GB"/>
              </w:rPr>
            </w:pPr>
          </w:p>
        </w:tc>
      </w:tr>
      <w:tr w:rsidR="00CF5BBB" w:rsidRPr="00803C52" w14:paraId="76974BA5" w14:textId="77777777" w:rsidTr="00CF5BBB">
        <w:tc>
          <w:tcPr>
            <w:tcW w:w="4390" w:type="dxa"/>
          </w:tcPr>
          <w:p w14:paraId="3118086B" w14:textId="77777777" w:rsidR="00CF5BBB" w:rsidRPr="00803C52" w:rsidRDefault="00CF5BBB" w:rsidP="004A3EE9">
            <w:pPr>
              <w:rPr>
                <w:color w:val="auto"/>
                <w:lang w:val="en-GB"/>
              </w:rPr>
            </w:pPr>
          </w:p>
        </w:tc>
        <w:tc>
          <w:tcPr>
            <w:tcW w:w="2409" w:type="dxa"/>
          </w:tcPr>
          <w:p w14:paraId="0207C552" w14:textId="77777777" w:rsidR="00CF5BBB" w:rsidRPr="00803C52" w:rsidRDefault="00CF5BBB" w:rsidP="004A3EE9">
            <w:pPr>
              <w:rPr>
                <w:color w:val="auto"/>
                <w:lang w:val="en-GB"/>
              </w:rPr>
            </w:pPr>
          </w:p>
        </w:tc>
        <w:tc>
          <w:tcPr>
            <w:tcW w:w="2551" w:type="dxa"/>
          </w:tcPr>
          <w:p w14:paraId="7F298319" w14:textId="77777777" w:rsidR="00CF5BBB" w:rsidRPr="00803C52" w:rsidRDefault="00CF5BBB" w:rsidP="004A3EE9">
            <w:pPr>
              <w:rPr>
                <w:color w:val="auto"/>
                <w:lang w:val="en-GB"/>
              </w:rPr>
            </w:pPr>
          </w:p>
        </w:tc>
      </w:tr>
      <w:tr w:rsidR="00CF5BBB" w:rsidRPr="00803C52" w14:paraId="5D118FA3" w14:textId="77777777" w:rsidTr="00CF5BBB">
        <w:tc>
          <w:tcPr>
            <w:tcW w:w="4390" w:type="dxa"/>
          </w:tcPr>
          <w:p w14:paraId="50CC410A" w14:textId="77777777" w:rsidR="00CF5BBB" w:rsidRPr="00803C52" w:rsidRDefault="00CF5BBB" w:rsidP="004A3EE9">
            <w:pPr>
              <w:rPr>
                <w:color w:val="auto"/>
                <w:lang w:val="en-GB"/>
              </w:rPr>
            </w:pPr>
          </w:p>
        </w:tc>
        <w:tc>
          <w:tcPr>
            <w:tcW w:w="2409" w:type="dxa"/>
          </w:tcPr>
          <w:p w14:paraId="46E7EC5B" w14:textId="77777777" w:rsidR="00CF5BBB" w:rsidRPr="00803C52" w:rsidRDefault="00CF5BBB" w:rsidP="004A3EE9">
            <w:pPr>
              <w:rPr>
                <w:color w:val="auto"/>
                <w:lang w:val="en-GB"/>
              </w:rPr>
            </w:pPr>
          </w:p>
        </w:tc>
        <w:tc>
          <w:tcPr>
            <w:tcW w:w="2551" w:type="dxa"/>
          </w:tcPr>
          <w:p w14:paraId="4A634316" w14:textId="77777777" w:rsidR="00CF5BBB" w:rsidRPr="00803C52" w:rsidRDefault="00CF5BBB" w:rsidP="004A3EE9">
            <w:pPr>
              <w:rPr>
                <w:color w:val="auto"/>
                <w:lang w:val="en-GB"/>
              </w:rPr>
            </w:pPr>
          </w:p>
        </w:tc>
      </w:tr>
      <w:tr w:rsidR="00CF5BBB" w:rsidRPr="00803C52" w14:paraId="5E50855B" w14:textId="77777777" w:rsidTr="00CF5BBB">
        <w:tc>
          <w:tcPr>
            <w:tcW w:w="4390" w:type="dxa"/>
          </w:tcPr>
          <w:p w14:paraId="21A81536" w14:textId="77777777" w:rsidR="00CF5BBB" w:rsidRPr="00803C52" w:rsidRDefault="00CF5BBB" w:rsidP="004A3EE9">
            <w:pPr>
              <w:rPr>
                <w:color w:val="auto"/>
                <w:lang w:val="en-GB"/>
              </w:rPr>
            </w:pPr>
          </w:p>
        </w:tc>
        <w:tc>
          <w:tcPr>
            <w:tcW w:w="2409" w:type="dxa"/>
          </w:tcPr>
          <w:p w14:paraId="48428BDD" w14:textId="77777777" w:rsidR="00CF5BBB" w:rsidRPr="00803C52" w:rsidRDefault="00CF5BBB" w:rsidP="004A3EE9">
            <w:pPr>
              <w:rPr>
                <w:color w:val="auto"/>
                <w:lang w:val="en-GB"/>
              </w:rPr>
            </w:pPr>
          </w:p>
        </w:tc>
        <w:tc>
          <w:tcPr>
            <w:tcW w:w="2551" w:type="dxa"/>
          </w:tcPr>
          <w:p w14:paraId="3BFC6F8F" w14:textId="77777777" w:rsidR="00CF5BBB" w:rsidRPr="00803C52" w:rsidRDefault="00CF5BBB" w:rsidP="004A3EE9">
            <w:pPr>
              <w:rPr>
                <w:color w:val="auto"/>
                <w:lang w:val="en-GB"/>
              </w:rPr>
            </w:pPr>
          </w:p>
        </w:tc>
      </w:tr>
    </w:tbl>
    <w:p w14:paraId="11CDF462" w14:textId="77777777" w:rsidR="00FE2851" w:rsidRPr="003A2345" w:rsidRDefault="00FE2851" w:rsidP="003A2345">
      <w:pPr>
        <w:rPr>
          <w:lang w:val="en-GB"/>
        </w:rPr>
      </w:pPr>
    </w:p>
    <w:p w14:paraId="0C74BB17" w14:textId="40F70D6A" w:rsidR="0053036B" w:rsidRPr="00115061" w:rsidRDefault="0053036B" w:rsidP="0053036B">
      <w:pPr>
        <w:pStyle w:val="Heading1"/>
        <w:rPr>
          <w:lang w:val="en-GB"/>
        </w:rPr>
      </w:pPr>
      <w:bookmarkStart w:id="48" w:name="_Toc131084410"/>
      <w:r w:rsidRPr="00115061">
        <w:rPr>
          <w:lang w:val="en-GB"/>
        </w:rPr>
        <w:t>6.  Validation</w:t>
      </w:r>
      <w:bookmarkEnd w:id="48"/>
    </w:p>
    <w:p w14:paraId="0C74BB18" w14:textId="73B6C3BF" w:rsidR="0053036B" w:rsidRDefault="003A2345" w:rsidP="00620EA8">
      <w:pPr>
        <w:rPr>
          <w:lang w:val="en-GB"/>
        </w:rPr>
      </w:pPr>
      <w:commentRangeStart w:id="49"/>
      <w:r>
        <w:rPr>
          <w:lang w:val="en-GB"/>
        </w:rPr>
        <w:t>…</w:t>
      </w:r>
      <w:commentRangeEnd w:id="49"/>
      <w:r>
        <w:rPr>
          <w:rStyle w:val="CommentReference"/>
        </w:rPr>
        <w:commentReference w:id="49"/>
      </w:r>
    </w:p>
    <w:p w14:paraId="45806CD9" w14:textId="77777777" w:rsidR="00785E65" w:rsidRPr="00115061" w:rsidRDefault="00785E65" w:rsidP="00620EA8">
      <w:pPr>
        <w:rPr>
          <w:lang w:val="en-GB"/>
        </w:rPr>
      </w:pPr>
    </w:p>
    <w:p w14:paraId="0C74BB28" w14:textId="180145EE" w:rsidR="009719C4" w:rsidRPr="00115061" w:rsidRDefault="009719C4" w:rsidP="00785E65">
      <w:pPr>
        <w:pStyle w:val="Heading1"/>
        <w:rPr>
          <w:lang w:val="en-GB"/>
        </w:rPr>
      </w:pPr>
      <w:bookmarkStart w:id="50" w:name="_Toc131084411"/>
      <w:r w:rsidRPr="00115061">
        <w:rPr>
          <w:lang w:val="en-GB"/>
        </w:rPr>
        <w:t>Annex</w:t>
      </w:r>
      <w:r w:rsidR="00817EDD" w:rsidRPr="00115061">
        <w:rPr>
          <w:lang w:val="en-GB"/>
        </w:rPr>
        <w:t>es/Appendices</w:t>
      </w:r>
      <w:bookmarkEnd w:id="50"/>
    </w:p>
    <w:p w14:paraId="0C74BB29" w14:textId="22503415" w:rsidR="009719C4" w:rsidRDefault="003A2345" w:rsidP="00620EA8">
      <w:pPr>
        <w:rPr>
          <w:lang w:val="en-GB"/>
        </w:rPr>
      </w:pPr>
      <w:commentRangeStart w:id="51"/>
      <w:r>
        <w:rPr>
          <w:lang w:val="en-GB"/>
        </w:rPr>
        <w:t>…</w:t>
      </w:r>
      <w:commentRangeEnd w:id="51"/>
      <w:r>
        <w:rPr>
          <w:rStyle w:val="CommentReference"/>
        </w:rPr>
        <w:commentReference w:id="51"/>
      </w:r>
    </w:p>
    <w:p w14:paraId="79EAD335" w14:textId="77777777" w:rsidR="00785E65" w:rsidRPr="00115061" w:rsidRDefault="00785E65" w:rsidP="00620EA8">
      <w:pPr>
        <w:rPr>
          <w:lang w:val="en-GB"/>
        </w:rPr>
      </w:pPr>
    </w:p>
    <w:sectPr w:rsidR="00785E65" w:rsidRPr="00115061" w:rsidSect="001D4B1B">
      <w:footerReference w:type="default" r:id="rId19"/>
      <w:type w:val="continuous"/>
      <w:pgSz w:w="12240" w:h="15840"/>
      <w:pgMar w:top="1440" w:right="1440" w:bottom="1440" w:left="1440" w:header="680" w:footer="720" w:gutter="0"/>
      <w:pgNumType w:start="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NAGOS Nicolas, GOV/IPP" w:date="2022-11-30T15:31:00Z" w:initials="PNG">
    <w:p w14:paraId="7CE1C305" w14:textId="77777777" w:rsidR="007C767F" w:rsidRDefault="007C767F">
      <w:pPr>
        <w:pStyle w:val="CommentText"/>
        <w:rPr>
          <w:rStyle w:val="CommentReference"/>
        </w:rPr>
      </w:pPr>
      <w:r>
        <w:rPr>
          <w:rStyle w:val="CommentReference"/>
        </w:rPr>
        <w:annotationRef/>
      </w:r>
      <w:r w:rsidR="002E3607">
        <w:rPr>
          <w:rStyle w:val="CommentReference"/>
        </w:rPr>
        <w:t xml:space="preserve">Text in this page </w:t>
      </w:r>
      <w:r w:rsidR="009E4D64">
        <w:rPr>
          <w:rStyle w:val="CommentReference"/>
        </w:rPr>
        <w:t>should be replaced with</w:t>
      </w:r>
      <w:r w:rsidR="00D9382D">
        <w:rPr>
          <w:rStyle w:val="CommentReference"/>
        </w:rPr>
        <w:t>:</w:t>
      </w:r>
      <w:r w:rsidR="009E4D64">
        <w:rPr>
          <w:rStyle w:val="CommentReference"/>
        </w:rPr>
        <w:t xml:space="preserve"> </w:t>
      </w:r>
      <w:r w:rsidR="00D9382D">
        <w:rPr>
          <w:rStyle w:val="CommentReference"/>
        </w:rPr>
        <w:t xml:space="preserve">ASSESSMENT OF </w:t>
      </w:r>
      <w:r w:rsidR="00741465">
        <w:rPr>
          <w:rStyle w:val="CommentReference"/>
        </w:rPr>
        <w:t>[COUNTRY] PROCUREMENT SYSTEM</w:t>
      </w:r>
    </w:p>
    <w:p w14:paraId="486D112C" w14:textId="2C22F4D9" w:rsidR="00741465" w:rsidRDefault="00741465">
      <w:pPr>
        <w:pStyle w:val="CommentText"/>
      </w:pPr>
      <w:r>
        <w:rPr>
          <w:rStyle w:val="CommentReference"/>
        </w:rPr>
        <w:t>[YEAR]</w:t>
      </w:r>
    </w:p>
  </w:comment>
  <w:comment w:id="1" w:author="PENAGOS Nicolas, GOV/IPP" w:date="2022-08-17T15:11:00Z" w:initials="PNG">
    <w:p w14:paraId="2BC0DC03" w14:textId="6605CF1E" w:rsidR="007C5D94" w:rsidRPr="007C5D94" w:rsidRDefault="007C5D94">
      <w:pPr>
        <w:pStyle w:val="CommentText"/>
        <w:rPr>
          <w:lang w:val="en-GB"/>
        </w:rPr>
      </w:pPr>
      <w:r>
        <w:rPr>
          <w:rStyle w:val="CommentReference"/>
        </w:rPr>
        <w:annotationRef/>
      </w:r>
      <w:r>
        <w:rPr>
          <w:lang w:val="en-GB"/>
        </w:rPr>
        <w:t xml:space="preserve">Comments in this document are meant to provide additional guidance to assessors and must be deleted from the report. </w:t>
      </w:r>
    </w:p>
  </w:comment>
  <w:comment w:id="2" w:author="GROOT Jeppe, GOV/IPP" w:date="2022-09-28T13:51:00Z" w:initials="GJG">
    <w:p w14:paraId="500FC97B" w14:textId="77777777" w:rsidR="006A026C" w:rsidRDefault="006A026C">
      <w:pPr>
        <w:pStyle w:val="CommentText"/>
      </w:pPr>
      <w:r>
        <w:rPr>
          <w:rStyle w:val="CommentReference"/>
        </w:rPr>
        <w:annotationRef/>
      </w:r>
      <w:r>
        <w:t xml:space="preserve">This is a mandatory template. </w:t>
      </w:r>
    </w:p>
    <w:p w14:paraId="166D8E8B" w14:textId="77777777" w:rsidR="006A026C" w:rsidRDefault="006A026C">
      <w:pPr>
        <w:pStyle w:val="CommentText"/>
      </w:pPr>
    </w:p>
    <w:p w14:paraId="60672993" w14:textId="77777777" w:rsidR="006A026C" w:rsidRDefault="006A026C">
      <w:pPr>
        <w:pStyle w:val="CommentText"/>
      </w:pPr>
      <w:r>
        <w:t xml:space="preserve">All assessment reports must follow the overall structure of the template and include the content listed. </w:t>
      </w:r>
    </w:p>
    <w:p w14:paraId="19711BE6" w14:textId="77777777" w:rsidR="006A026C" w:rsidRDefault="006A026C">
      <w:pPr>
        <w:pStyle w:val="CommentText"/>
      </w:pPr>
    </w:p>
    <w:p w14:paraId="10B81DEA" w14:textId="77777777" w:rsidR="006A026C" w:rsidRDefault="006A026C">
      <w:pPr>
        <w:pStyle w:val="CommentText"/>
      </w:pPr>
      <w:r>
        <w:t>Apart from this, authors are free to adapt the style of the prose itself to their specific context. This includes:</w:t>
      </w:r>
    </w:p>
    <w:p w14:paraId="452FECB5" w14:textId="77777777" w:rsidR="006A026C" w:rsidRDefault="006A026C">
      <w:pPr>
        <w:pStyle w:val="CommentText"/>
      </w:pPr>
    </w:p>
    <w:p w14:paraId="5DAF5031" w14:textId="77777777" w:rsidR="006A026C" w:rsidRDefault="006A026C" w:rsidP="006A026C">
      <w:pPr>
        <w:pStyle w:val="CommentText"/>
        <w:numPr>
          <w:ilvl w:val="0"/>
          <w:numId w:val="13"/>
        </w:numPr>
      </w:pPr>
      <w:r>
        <w:t xml:space="preserve"> Technical terms (e.g. annex/appendix, e-Procurement/e-government procurement)</w:t>
      </w:r>
    </w:p>
    <w:p w14:paraId="57C34DA1" w14:textId="77777777" w:rsidR="006A026C" w:rsidRDefault="006A026C" w:rsidP="006A026C">
      <w:pPr>
        <w:pStyle w:val="CommentText"/>
        <w:numPr>
          <w:ilvl w:val="0"/>
          <w:numId w:val="13"/>
        </w:numPr>
      </w:pPr>
      <w:r>
        <w:t xml:space="preserve"> Language style (e.g. British v. American English)</w:t>
      </w:r>
    </w:p>
    <w:p w14:paraId="38790822" w14:textId="77777777" w:rsidR="006A026C" w:rsidRDefault="006A026C" w:rsidP="006A026C">
      <w:pPr>
        <w:pStyle w:val="CommentText"/>
        <w:numPr>
          <w:ilvl w:val="0"/>
          <w:numId w:val="13"/>
        </w:numPr>
      </w:pPr>
      <w:r>
        <w:t xml:space="preserve"> Reference style (footnotes and bibliography)</w:t>
      </w:r>
    </w:p>
    <w:p w14:paraId="4603E97F" w14:textId="77777777" w:rsidR="006A026C" w:rsidRDefault="006A026C" w:rsidP="006A026C">
      <w:pPr>
        <w:pStyle w:val="CommentText"/>
      </w:pPr>
    </w:p>
    <w:p w14:paraId="4ADADF97" w14:textId="15057FFF" w:rsidR="006A026C" w:rsidRDefault="006A026C" w:rsidP="006A026C">
      <w:pPr>
        <w:pStyle w:val="CommentText"/>
      </w:pPr>
      <w:r>
        <w:t xml:space="preserve">Regardless of the choices made, the approach should be harmonized across the report. </w:t>
      </w:r>
    </w:p>
  </w:comment>
  <w:comment w:id="5" w:author="PENAGOS Nicolas, GOV/IPP" w:date="2022-08-16T17:20:00Z" w:initials="PNG">
    <w:p w14:paraId="132A5CD4" w14:textId="7F0EED45" w:rsidR="00FE79EF" w:rsidRDefault="00FE79EF">
      <w:pPr>
        <w:pStyle w:val="CommentText"/>
      </w:pPr>
      <w:r>
        <w:rPr>
          <w:rStyle w:val="CommentReference"/>
        </w:rPr>
        <w:annotationRef/>
      </w:r>
      <w:r w:rsidR="007C5D94">
        <w:t xml:space="preserve">Additional context information relevant for readers may be included in this section, such as currency, exchange rate, fiscal year start and end dates, etc. </w:t>
      </w:r>
    </w:p>
  </w:comment>
  <w:comment w:id="7" w:author="PENAGOS Nicolas, GOV/IPP" w:date="2023-01-18T11:52:00Z" w:initials="PNG">
    <w:p w14:paraId="75893233" w14:textId="277F92DB" w:rsidR="00FC70DC" w:rsidRDefault="00FC70DC" w:rsidP="00FC70DC">
      <w:pPr>
        <w:pStyle w:val="CommentText"/>
      </w:pPr>
      <w:r>
        <w:rPr>
          <w:rStyle w:val="CommentReference"/>
        </w:rPr>
        <w:annotationRef/>
      </w:r>
      <w:r>
        <w:t xml:space="preserve">The executive summary should include: </w:t>
      </w:r>
    </w:p>
    <w:p w14:paraId="2B57CC8F" w14:textId="77777777" w:rsidR="00FC70DC" w:rsidRDefault="00FC70DC" w:rsidP="00FC70DC">
      <w:pPr>
        <w:pStyle w:val="CommentText"/>
      </w:pPr>
    </w:p>
    <w:p w14:paraId="624F5181" w14:textId="77777777" w:rsidR="00FC70DC" w:rsidRDefault="00FC70DC" w:rsidP="00FC70DC">
      <w:pPr>
        <w:pStyle w:val="ListParagraph"/>
        <w:numPr>
          <w:ilvl w:val="0"/>
          <w:numId w:val="13"/>
        </w:numPr>
        <w:rPr>
          <w:lang w:val="en-GB"/>
        </w:rPr>
      </w:pPr>
      <w:r>
        <w:rPr>
          <w:lang w:val="en-GB"/>
        </w:rPr>
        <w:t xml:space="preserve"> </w:t>
      </w:r>
      <w:r w:rsidRPr="00FE70DF">
        <w:rPr>
          <w:lang w:val="en-GB"/>
        </w:rPr>
        <w:t>Background on the assessment</w:t>
      </w:r>
    </w:p>
    <w:p w14:paraId="17F6AD9D" w14:textId="77777777" w:rsidR="00FC70DC" w:rsidRDefault="00FC70DC" w:rsidP="00FC70DC">
      <w:pPr>
        <w:pStyle w:val="ListParagraph"/>
        <w:numPr>
          <w:ilvl w:val="0"/>
          <w:numId w:val="13"/>
        </w:numPr>
        <w:rPr>
          <w:lang w:val="en-GB"/>
        </w:rPr>
      </w:pPr>
      <w:r>
        <w:rPr>
          <w:lang w:val="en-GB"/>
        </w:rPr>
        <w:t xml:space="preserve"> </w:t>
      </w:r>
      <w:r w:rsidRPr="00FE70DF">
        <w:rPr>
          <w:lang w:val="en-GB"/>
        </w:rPr>
        <w:t>Country context</w:t>
      </w:r>
      <w:r>
        <w:rPr>
          <w:lang w:val="en-GB"/>
        </w:rPr>
        <w:t xml:space="preserve"> </w:t>
      </w:r>
    </w:p>
    <w:p w14:paraId="6D6F1B27" w14:textId="77777777" w:rsidR="00FC70DC" w:rsidRDefault="00FC70DC" w:rsidP="00FC70DC">
      <w:pPr>
        <w:pStyle w:val="ListParagraph"/>
        <w:numPr>
          <w:ilvl w:val="0"/>
          <w:numId w:val="13"/>
        </w:numPr>
        <w:rPr>
          <w:lang w:val="en-GB"/>
        </w:rPr>
      </w:pPr>
      <w:r>
        <w:rPr>
          <w:lang w:val="en-GB"/>
        </w:rPr>
        <w:t xml:space="preserve"> </w:t>
      </w:r>
      <w:r w:rsidRPr="00FE70DF">
        <w:rPr>
          <w:lang w:val="en-GB"/>
        </w:rPr>
        <w:t>Main findings of assessment results incl. key recommendations</w:t>
      </w:r>
      <w:r>
        <w:rPr>
          <w:lang w:val="en-GB"/>
        </w:rPr>
        <w:t xml:space="preserve"> </w:t>
      </w:r>
    </w:p>
    <w:p w14:paraId="5A718D12" w14:textId="77777777" w:rsidR="00FC70DC" w:rsidRDefault="00FC70DC" w:rsidP="00FC70DC">
      <w:pPr>
        <w:pStyle w:val="ListParagraph"/>
        <w:numPr>
          <w:ilvl w:val="0"/>
          <w:numId w:val="13"/>
        </w:numPr>
        <w:rPr>
          <w:lang w:val="en-GB"/>
        </w:rPr>
      </w:pPr>
      <w:r>
        <w:rPr>
          <w:lang w:val="en-GB"/>
        </w:rPr>
        <w:t xml:space="preserve"> </w:t>
      </w:r>
      <w:r w:rsidRPr="00FE70DF">
        <w:rPr>
          <w:lang w:val="en-GB"/>
        </w:rPr>
        <w:t>Process of validation</w:t>
      </w:r>
      <w:r>
        <w:rPr>
          <w:lang w:val="en-GB"/>
        </w:rPr>
        <w:t xml:space="preserve"> </w:t>
      </w:r>
    </w:p>
    <w:p w14:paraId="513DC694" w14:textId="77777777" w:rsidR="00FC70DC" w:rsidRPr="00FE70DF" w:rsidRDefault="00FC70DC" w:rsidP="00FC70DC">
      <w:pPr>
        <w:pStyle w:val="ListParagraph"/>
        <w:numPr>
          <w:ilvl w:val="0"/>
          <w:numId w:val="13"/>
        </w:numPr>
        <w:rPr>
          <w:lang w:val="en-GB"/>
        </w:rPr>
      </w:pPr>
      <w:r>
        <w:rPr>
          <w:lang w:val="en-GB"/>
        </w:rPr>
        <w:t xml:space="preserve"> </w:t>
      </w:r>
      <w:r w:rsidRPr="00FE70DF">
        <w:rPr>
          <w:lang w:val="en-GB"/>
        </w:rPr>
        <w:t>Action plan, if developed as part of the assessment</w:t>
      </w:r>
    </w:p>
    <w:p w14:paraId="49F7E9D7" w14:textId="77777777" w:rsidR="00FC70DC" w:rsidRPr="00FE70DF" w:rsidRDefault="00FC70DC" w:rsidP="00FC70DC">
      <w:pPr>
        <w:pStyle w:val="CommentText"/>
        <w:rPr>
          <w:lang w:val="en-GB"/>
        </w:rPr>
      </w:pPr>
    </w:p>
    <w:p w14:paraId="46D2C149" w14:textId="77777777" w:rsidR="00FC70DC" w:rsidRDefault="00FC70DC" w:rsidP="00FC70DC">
      <w:pPr>
        <w:pStyle w:val="CommentText"/>
      </w:pPr>
    </w:p>
    <w:p w14:paraId="1E4DE1BE" w14:textId="77777777" w:rsidR="00FC70DC" w:rsidRDefault="00FC70DC" w:rsidP="00FC70DC">
      <w:pPr>
        <w:pStyle w:val="CommentText"/>
      </w:pPr>
      <w:r>
        <w:t xml:space="preserve">The executive summary should target decision-makers and should thus present the most important information as succinctly as possible (just a few pages long) in a streamlined and integrated manner. </w:t>
      </w:r>
    </w:p>
    <w:p w14:paraId="2CD9EFCB" w14:textId="77777777" w:rsidR="00FC70DC" w:rsidRDefault="00FC70DC" w:rsidP="00FC70DC">
      <w:pPr>
        <w:pStyle w:val="CommentText"/>
      </w:pPr>
    </w:p>
    <w:p w14:paraId="549F83F4" w14:textId="3FD11A4F" w:rsidR="00FC70DC" w:rsidRDefault="00FC70DC" w:rsidP="00FC70DC">
      <w:pPr>
        <w:pStyle w:val="CommentText"/>
      </w:pPr>
      <w:r>
        <w:t>Assessors should bear in mind that the most detailed information is provided in the indicator matrix. That information is synthesized into the report. From the report, it should be further distilled in the executive summary.</w:t>
      </w:r>
    </w:p>
  </w:comment>
  <w:comment w:id="9" w:author="PENAGOS Nicolas, GOV/IPP" w:date="2022-08-16T17:14:00Z" w:initials="PNG">
    <w:p w14:paraId="5482687C" w14:textId="0CC46177" w:rsidR="00817EDD" w:rsidRDefault="00817EDD">
      <w:pPr>
        <w:pStyle w:val="CommentText"/>
      </w:pPr>
      <w:r>
        <w:rPr>
          <w:rStyle w:val="CommentReference"/>
        </w:rPr>
        <w:annotationRef/>
      </w:r>
      <w:r>
        <w:t xml:space="preserve">Guidance on gaps, risks and red flags is found in </w:t>
      </w:r>
      <w:hyperlink r:id="rId1" w:history="1">
        <w:r w:rsidRPr="002773C5">
          <w:rPr>
            <w:rStyle w:val="Hyperlink"/>
          </w:rPr>
          <w:t>https://www.mapsinitiative.org/methodology/templates-guidance/</w:t>
        </w:r>
      </w:hyperlink>
      <w:r>
        <w:t xml:space="preserve"> </w:t>
      </w:r>
    </w:p>
  </w:comment>
  <w:comment w:id="10" w:author="GROOT Jeppe, GOV/IPP" w:date="2022-09-28T17:08:00Z" w:initials="GJG">
    <w:p w14:paraId="09954055" w14:textId="37AA24F6" w:rsidR="007B1A8F" w:rsidRDefault="007B1A8F">
      <w:pPr>
        <w:pStyle w:val="CommentText"/>
      </w:pPr>
      <w:r>
        <w:rPr>
          <w:rStyle w:val="CommentReference"/>
        </w:rPr>
        <w:annotationRef/>
      </w:r>
      <w:r>
        <w:t xml:space="preserve">This formatting is meant to increase accessibility for colour-blind users. </w:t>
      </w:r>
      <w:r w:rsidR="009425E9">
        <w:t xml:space="preserve">Assessors should mark with an X the </w:t>
      </w:r>
      <w:r w:rsidR="009578E2">
        <w:t>level of compliance of each sub-indicator.</w:t>
      </w:r>
    </w:p>
  </w:comment>
  <w:comment w:id="12" w:author="GROOT Jeppe, GOV/IPP" w:date="2022-09-28T17:02:00Z" w:initials="GJG">
    <w:p w14:paraId="16D18362" w14:textId="2F14296A" w:rsidR="00355CE9" w:rsidRDefault="00355CE9" w:rsidP="00355CE9">
      <w:pPr>
        <w:rPr>
          <w:lang w:val="en-GB"/>
        </w:rPr>
      </w:pPr>
      <w:r>
        <w:rPr>
          <w:rStyle w:val="CommentReference"/>
        </w:rPr>
        <w:annotationRef/>
      </w:r>
      <w:r>
        <w:t xml:space="preserve">The introduction should include </w:t>
      </w:r>
      <w:r w:rsidR="00494645" w:rsidRPr="00115061">
        <w:rPr>
          <w:lang w:val="en-GB"/>
        </w:rPr>
        <w:t>background</w:t>
      </w:r>
      <w:r w:rsidRPr="00115061">
        <w:rPr>
          <w:lang w:val="en-GB"/>
        </w:rPr>
        <w:t xml:space="preserve"> o</w:t>
      </w:r>
      <w:r>
        <w:rPr>
          <w:lang w:val="en-GB"/>
        </w:rPr>
        <w:t>n</w:t>
      </w:r>
      <w:r w:rsidRPr="00115061">
        <w:rPr>
          <w:lang w:val="en-GB"/>
        </w:rPr>
        <w:t xml:space="preserve"> the assessment</w:t>
      </w:r>
      <w:r>
        <w:rPr>
          <w:lang w:val="en-GB"/>
        </w:rPr>
        <w:t xml:space="preserve"> in brief:</w:t>
      </w:r>
    </w:p>
    <w:p w14:paraId="7789C647" w14:textId="77777777" w:rsidR="00355CE9" w:rsidRDefault="00355CE9" w:rsidP="00355CE9">
      <w:pPr>
        <w:rPr>
          <w:lang w:val="en-GB"/>
        </w:rPr>
      </w:pPr>
    </w:p>
    <w:p w14:paraId="11993B41" w14:textId="5C33DBCA" w:rsidR="00355CE9" w:rsidRDefault="00355CE9" w:rsidP="00355CE9">
      <w:pPr>
        <w:pStyle w:val="ListParagraph"/>
        <w:numPr>
          <w:ilvl w:val="0"/>
          <w:numId w:val="13"/>
        </w:numPr>
        <w:rPr>
          <w:lang w:val="en-GB"/>
        </w:rPr>
      </w:pPr>
      <w:r>
        <w:rPr>
          <w:lang w:val="en-GB"/>
        </w:rPr>
        <w:t xml:space="preserve"> </w:t>
      </w:r>
      <w:r w:rsidRPr="00355CE9">
        <w:rPr>
          <w:lang w:val="en-GB"/>
        </w:rPr>
        <w:t>Context</w:t>
      </w:r>
    </w:p>
    <w:p w14:paraId="5B102932" w14:textId="77777777" w:rsidR="00355CE9" w:rsidRDefault="00355CE9" w:rsidP="00355CE9">
      <w:pPr>
        <w:pStyle w:val="ListParagraph"/>
        <w:numPr>
          <w:ilvl w:val="0"/>
          <w:numId w:val="13"/>
        </w:numPr>
        <w:rPr>
          <w:lang w:val="en-GB"/>
        </w:rPr>
      </w:pPr>
      <w:r>
        <w:rPr>
          <w:lang w:val="en-GB"/>
        </w:rPr>
        <w:t xml:space="preserve"> Objectives (specific to the context)</w:t>
      </w:r>
    </w:p>
    <w:p w14:paraId="6A6971D8" w14:textId="77777777" w:rsidR="00355CE9" w:rsidRDefault="00355CE9" w:rsidP="00355CE9">
      <w:pPr>
        <w:pStyle w:val="ListParagraph"/>
        <w:numPr>
          <w:ilvl w:val="0"/>
          <w:numId w:val="13"/>
        </w:numPr>
        <w:rPr>
          <w:lang w:val="en-GB"/>
        </w:rPr>
      </w:pPr>
      <w:r>
        <w:rPr>
          <w:lang w:val="en-GB"/>
        </w:rPr>
        <w:t xml:space="preserve"> Relevant d</w:t>
      </w:r>
      <w:r w:rsidRPr="00355CE9">
        <w:rPr>
          <w:lang w:val="en-GB"/>
        </w:rPr>
        <w:t>ates</w:t>
      </w:r>
    </w:p>
    <w:p w14:paraId="1016C885" w14:textId="6D6EAFA7" w:rsidR="00355CE9" w:rsidRDefault="00355CE9" w:rsidP="00355CE9">
      <w:pPr>
        <w:pStyle w:val="ListParagraph"/>
        <w:numPr>
          <w:ilvl w:val="0"/>
          <w:numId w:val="13"/>
        </w:numPr>
        <w:rPr>
          <w:lang w:val="en-GB"/>
        </w:rPr>
      </w:pPr>
      <w:r>
        <w:rPr>
          <w:lang w:val="en-GB"/>
        </w:rPr>
        <w:t xml:space="preserve"> Sc</w:t>
      </w:r>
      <w:r w:rsidRPr="00355CE9">
        <w:rPr>
          <w:lang w:val="en-GB"/>
        </w:rPr>
        <w:t>ope</w:t>
      </w:r>
    </w:p>
    <w:p w14:paraId="12676398" w14:textId="5E5FD9F8" w:rsidR="00355CE9" w:rsidRDefault="00355CE9" w:rsidP="00355CE9">
      <w:pPr>
        <w:pStyle w:val="ListParagraph"/>
        <w:numPr>
          <w:ilvl w:val="0"/>
          <w:numId w:val="13"/>
        </w:numPr>
        <w:rPr>
          <w:lang w:val="en-GB"/>
        </w:rPr>
      </w:pPr>
      <w:r>
        <w:rPr>
          <w:lang w:val="en-GB"/>
        </w:rPr>
        <w:t xml:space="preserve"> M</w:t>
      </w:r>
      <w:r w:rsidRPr="00355CE9">
        <w:rPr>
          <w:lang w:val="en-GB"/>
        </w:rPr>
        <w:t>ethodolog</w:t>
      </w:r>
      <w:r>
        <w:rPr>
          <w:lang w:val="en-GB"/>
        </w:rPr>
        <w:t>ical decisions</w:t>
      </w:r>
      <w:r w:rsidRPr="00355CE9">
        <w:rPr>
          <w:lang w:val="en-GB"/>
        </w:rPr>
        <w:t xml:space="preserve"> including of data selection </w:t>
      </w:r>
      <w:r>
        <w:rPr>
          <w:lang w:val="en-GB"/>
        </w:rPr>
        <w:t xml:space="preserve">(with </w:t>
      </w:r>
      <w:r w:rsidR="00F20A92">
        <w:rPr>
          <w:lang w:val="en-GB"/>
        </w:rPr>
        <w:t>reference</w:t>
      </w:r>
      <w:r>
        <w:rPr>
          <w:lang w:val="en-GB"/>
        </w:rPr>
        <w:t xml:space="preserve"> to </w:t>
      </w:r>
      <w:r w:rsidRPr="00355CE9">
        <w:rPr>
          <w:lang w:val="en-GB"/>
        </w:rPr>
        <w:t>sample cases</w:t>
      </w:r>
      <w:r>
        <w:rPr>
          <w:lang w:val="en-GB"/>
        </w:rPr>
        <w:t xml:space="preserve"> and quantitative data)</w:t>
      </w:r>
      <w:r w:rsidRPr="00355CE9">
        <w:rPr>
          <w:lang w:val="en-GB"/>
        </w:rPr>
        <w:t xml:space="preserve"> </w:t>
      </w:r>
    </w:p>
    <w:p w14:paraId="1DBDCB54" w14:textId="77777777" w:rsidR="00355CE9" w:rsidRDefault="00355CE9" w:rsidP="00355CE9">
      <w:pPr>
        <w:pStyle w:val="ListParagraph"/>
        <w:numPr>
          <w:ilvl w:val="0"/>
          <w:numId w:val="13"/>
        </w:numPr>
        <w:rPr>
          <w:lang w:val="en-GB"/>
        </w:rPr>
      </w:pPr>
      <w:r>
        <w:rPr>
          <w:lang w:val="en-GB"/>
        </w:rPr>
        <w:t xml:space="preserve"> A</w:t>
      </w:r>
      <w:r w:rsidRPr="00355CE9">
        <w:rPr>
          <w:lang w:val="en-GB"/>
        </w:rPr>
        <w:t>ssessment team</w:t>
      </w:r>
    </w:p>
    <w:p w14:paraId="5E8A3648" w14:textId="4D07983E" w:rsidR="00355CE9" w:rsidRDefault="00355CE9" w:rsidP="00355CE9">
      <w:pPr>
        <w:pStyle w:val="ListParagraph"/>
        <w:numPr>
          <w:ilvl w:val="0"/>
          <w:numId w:val="13"/>
        </w:numPr>
        <w:rPr>
          <w:lang w:val="en-GB"/>
        </w:rPr>
      </w:pPr>
      <w:r w:rsidRPr="00355CE9">
        <w:rPr>
          <w:lang w:val="en-GB"/>
        </w:rPr>
        <w:t xml:space="preserve"> </w:t>
      </w:r>
      <w:r>
        <w:rPr>
          <w:lang w:val="en-GB"/>
        </w:rPr>
        <w:t>P</w:t>
      </w:r>
      <w:r w:rsidRPr="00355CE9">
        <w:rPr>
          <w:lang w:val="en-GB"/>
        </w:rPr>
        <w:t xml:space="preserve">rocess </w:t>
      </w:r>
    </w:p>
    <w:p w14:paraId="7194D418" w14:textId="77777777" w:rsidR="00355CE9" w:rsidRDefault="00355CE9" w:rsidP="00355CE9">
      <w:pPr>
        <w:pStyle w:val="ListParagraph"/>
        <w:numPr>
          <w:ilvl w:val="0"/>
          <w:numId w:val="13"/>
        </w:numPr>
        <w:rPr>
          <w:lang w:val="en-GB"/>
        </w:rPr>
      </w:pPr>
      <w:r>
        <w:rPr>
          <w:lang w:val="en-GB"/>
        </w:rPr>
        <w:t xml:space="preserve"> Validation </w:t>
      </w:r>
    </w:p>
    <w:p w14:paraId="7914006E" w14:textId="77777777" w:rsidR="00355CE9" w:rsidRDefault="00355CE9" w:rsidP="00355CE9">
      <w:pPr>
        <w:pStyle w:val="ListParagraph"/>
        <w:numPr>
          <w:ilvl w:val="0"/>
          <w:numId w:val="13"/>
        </w:numPr>
        <w:rPr>
          <w:lang w:val="en-GB"/>
        </w:rPr>
      </w:pPr>
      <w:r>
        <w:rPr>
          <w:lang w:val="en-GB"/>
        </w:rPr>
        <w:t xml:space="preserve"> I</w:t>
      </w:r>
      <w:r w:rsidRPr="00355CE9">
        <w:rPr>
          <w:lang w:val="en-GB"/>
        </w:rPr>
        <w:t>nvolved institutions</w:t>
      </w:r>
    </w:p>
    <w:p w14:paraId="0FFA540F" w14:textId="77777777" w:rsidR="00355CE9" w:rsidRDefault="00355CE9" w:rsidP="00355CE9">
      <w:pPr>
        <w:pStyle w:val="ListParagraph"/>
        <w:numPr>
          <w:ilvl w:val="0"/>
          <w:numId w:val="13"/>
        </w:numPr>
        <w:rPr>
          <w:lang w:val="en-GB"/>
        </w:rPr>
      </w:pPr>
      <w:r>
        <w:rPr>
          <w:lang w:val="en-GB"/>
        </w:rPr>
        <w:t xml:space="preserve"> L</w:t>
      </w:r>
      <w:r w:rsidRPr="00355CE9">
        <w:rPr>
          <w:lang w:val="en-GB"/>
        </w:rPr>
        <w:t>imitations encountered in the assessment</w:t>
      </w:r>
    </w:p>
    <w:p w14:paraId="49599C4E" w14:textId="77777777" w:rsidR="00355CE9" w:rsidRDefault="00355CE9" w:rsidP="00355CE9">
      <w:pPr>
        <w:pStyle w:val="ListParagraph"/>
        <w:ind w:left="0"/>
        <w:rPr>
          <w:lang w:val="en-GB"/>
        </w:rPr>
      </w:pPr>
    </w:p>
    <w:p w14:paraId="636046DB" w14:textId="303F0EE3" w:rsidR="00355CE9" w:rsidRPr="00355CE9" w:rsidRDefault="00F20A92" w:rsidP="00355CE9">
      <w:pPr>
        <w:pStyle w:val="ListParagraph"/>
        <w:ind w:left="0"/>
        <w:rPr>
          <w:lang w:val="en-GB"/>
        </w:rPr>
      </w:pPr>
      <w:r>
        <w:rPr>
          <w:lang w:val="en-GB"/>
        </w:rPr>
        <w:t>Plus,</w:t>
      </w:r>
      <w:r w:rsidR="00355CE9" w:rsidRPr="00355CE9">
        <w:rPr>
          <w:lang w:val="en-GB"/>
        </w:rPr>
        <w:t xml:space="preserve"> </w:t>
      </w:r>
      <w:r w:rsidR="00355CE9">
        <w:rPr>
          <w:lang w:val="en-GB"/>
        </w:rPr>
        <w:t xml:space="preserve">anything else essential </w:t>
      </w:r>
      <w:r w:rsidR="00355CE9" w:rsidRPr="00355CE9">
        <w:rPr>
          <w:lang w:val="en-GB"/>
        </w:rPr>
        <w:t>for understanding the context and circumstances under which the assessment was carried out</w:t>
      </w:r>
      <w:r w:rsidR="00355CE9">
        <w:rPr>
          <w:lang w:val="en-GB"/>
        </w:rPr>
        <w:t>.</w:t>
      </w:r>
    </w:p>
    <w:p w14:paraId="6DB68654" w14:textId="7F8B2888" w:rsidR="00355CE9" w:rsidRPr="00355CE9" w:rsidRDefault="00355CE9">
      <w:pPr>
        <w:pStyle w:val="CommentText"/>
        <w:rPr>
          <w:lang w:val="en-GB"/>
        </w:rPr>
      </w:pPr>
    </w:p>
  </w:comment>
  <w:comment w:id="15" w:author="PENAGOS Nicolas, GOV/IPP" w:date="2023-03-30T18:15:00Z" w:initials="PNG">
    <w:p w14:paraId="1D3F418C" w14:textId="593934D7" w:rsidR="00877164" w:rsidRDefault="00877164" w:rsidP="00877164">
      <w:pPr>
        <w:pStyle w:val="CommentText"/>
      </w:pPr>
      <w:r>
        <w:rPr>
          <w:rStyle w:val="CommentReference"/>
        </w:rPr>
        <w:annotationRef/>
      </w:r>
      <w:r>
        <w:rPr>
          <w:rStyle w:val="CommentReference"/>
        </w:rPr>
        <w:annotationRef/>
      </w:r>
      <w:r>
        <w:t xml:space="preserve">If the module is used standalone, this section should always be included. </w:t>
      </w:r>
    </w:p>
    <w:p w14:paraId="1D179D31" w14:textId="75ECECA4" w:rsidR="00877164" w:rsidRDefault="00877164" w:rsidP="00877164">
      <w:pPr>
        <w:pStyle w:val="CommentText"/>
      </w:pPr>
      <w:r>
        <w:t xml:space="preserve">If the module is assessed in conjunction with a core assessment, this section must only be included in the first volume of the report, corresponding to the core assessment. </w:t>
      </w:r>
    </w:p>
    <w:p w14:paraId="25862EAF" w14:textId="19769989" w:rsidR="00877164" w:rsidRDefault="00877164">
      <w:pPr>
        <w:pStyle w:val="CommentText"/>
      </w:pPr>
      <w:r>
        <w:t xml:space="preserve">In case the module is used after the core assessment has been concluded, this section should only be included in the report if the assessors must add or update information about the country context. </w:t>
      </w:r>
    </w:p>
  </w:comment>
  <w:comment w:id="17" w:author="PENAGOS Nicolas, GOV/IPP" w:date="2022-11-30T15:34:00Z" w:initials="PNG">
    <w:p w14:paraId="4D1F57F7" w14:textId="77777777" w:rsidR="00741465" w:rsidRDefault="00741465" w:rsidP="00741465">
      <w:pPr>
        <w:pStyle w:val="ListParagraph"/>
        <w:ind w:left="0"/>
        <w:rPr>
          <w:lang w:val="en-GB"/>
        </w:rPr>
      </w:pPr>
      <w:r>
        <w:rPr>
          <w:rStyle w:val="CommentReference"/>
        </w:rPr>
        <w:annotationRef/>
      </w:r>
      <w:r>
        <w:rPr>
          <w:lang w:val="en-GB"/>
        </w:rPr>
        <w:t>This section includes:</w:t>
      </w:r>
    </w:p>
    <w:p w14:paraId="73B3BC12" w14:textId="0A5A814F" w:rsidR="00741465" w:rsidRPr="00115061" w:rsidRDefault="00741465" w:rsidP="00741465">
      <w:pPr>
        <w:pStyle w:val="ListParagraph"/>
        <w:numPr>
          <w:ilvl w:val="0"/>
          <w:numId w:val="4"/>
        </w:numPr>
        <w:rPr>
          <w:lang w:val="en-GB"/>
        </w:rPr>
      </w:pPr>
      <w:r w:rsidRPr="00115061">
        <w:rPr>
          <w:lang w:val="en-GB"/>
        </w:rPr>
        <w:t>economic structures (e.g. population, national income level, resources at the government’s disposal vs. debt, geographic location, geopolitical situation, main challenges for growth and development)</w:t>
      </w:r>
    </w:p>
    <w:p w14:paraId="51430722" w14:textId="77777777" w:rsidR="00741465" w:rsidRPr="00115061" w:rsidRDefault="00741465" w:rsidP="00741465">
      <w:pPr>
        <w:pStyle w:val="ListParagraph"/>
        <w:numPr>
          <w:ilvl w:val="0"/>
          <w:numId w:val="4"/>
        </w:numPr>
        <w:rPr>
          <w:lang w:val="en-GB"/>
        </w:rPr>
      </w:pPr>
      <w:r w:rsidRPr="00115061">
        <w:rPr>
          <w:lang w:val="en-GB"/>
        </w:rPr>
        <w:t>political structures, nature of the political governance system (e.g. type of government, history/legacies in the form of government, federalism vs. centralisation/roles of the national government and sub-national governments, distinctive features in the allocation of political power, marginalised groups, levels of crime and informality, aspects of fragility or conflict, level of perception of corruption, etc.)</w:t>
      </w:r>
    </w:p>
    <w:p w14:paraId="1375824A" w14:textId="77777777" w:rsidR="00741465" w:rsidRPr="00115061" w:rsidRDefault="00741465" w:rsidP="00741465">
      <w:pPr>
        <w:pStyle w:val="ListParagraph"/>
        <w:numPr>
          <w:ilvl w:val="0"/>
          <w:numId w:val="4"/>
        </w:numPr>
        <w:rPr>
          <w:lang w:val="en-GB"/>
        </w:rPr>
      </w:pPr>
      <w:r w:rsidRPr="00115061">
        <w:rPr>
          <w:lang w:val="en-GB"/>
        </w:rPr>
        <w:t>international obligations (e.g. international/regional treaties and memberships, including information on potential/pending memberships)</w:t>
      </w:r>
    </w:p>
    <w:p w14:paraId="259F4FF6" w14:textId="1E1409AE" w:rsidR="00741465" w:rsidRPr="00741465" w:rsidRDefault="00741465">
      <w:pPr>
        <w:pStyle w:val="CommentText"/>
        <w:rPr>
          <w:lang w:val="en-GB"/>
        </w:rPr>
      </w:pPr>
    </w:p>
  </w:comment>
  <w:comment w:id="19" w:author="PENAGOS Nicolas, GOV/IPP" w:date="2022-11-30T15:34:00Z" w:initials="PNG">
    <w:p w14:paraId="685E5582" w14:textId="6AC5A097" w:rsidR="00741465" w:rsidRDefault="00741465" w:rsidP="00741465">
      <w:pPr>
        <w:pStyle w:val="ListParagraph"/>
        <w:ind w:left="0"/>
        <w:rPr>
          <w:lang w:val="en-GB"/>
        </w:rPr>
      </w:pPr>
      <w:r>
        <w:rPr>
          <w:rStyle w:val="CommentReference"/>
        </w:rPr>
        <w:annotationRef/>
      </w:r>
      <w:r>
        <w:rPr>
          <w:lang w:val="en-GB"/>
        </w:rPr>
        <w:t xml:space="preserve">This section includes: </w:t>
      </w:r>
    </w:p>
    <w:p w14:paraId="7CB232E9" w14:textId="2FB9076B" w:rsidR="00741465" w:rsidRPr="00115061" w:rsidRDefault="00741465" w:rsidP="00741465">
      <w:pPr>
        <w:pStyle w:val="ListParagraph"/>
        <w:numPr>
          <w:ilvl w:val="0"/>
          <w:numId w:val="7"/>
        </w:numPr>
        <w:rPr>
          <w:lang w:val="en-GB"/>
        </w:rPr>
      </w:pPr>
      <w:r w:rsidRPr="00115061">
        <w:rPr>
          <w:lang w:val="en-GB"/>
        </w:rPr>
        <w:t>nature and scope of public procurement (e.g. procurement as a proportion of GDP/government expenditures)</w:t>
      </w:r>
    </w:p>
    <w:p w14:paraId="5B581D50" w14:textId="77777777" w:rsidR="00741465" w:rsidRPr="00115061" w:rsidRDefault="00741465" w:rsidP="00741465">
      <w:pPr>
        <w:pStyle w:val="ListParagraph"/>
        <w:numPr>
          <w:ilvl w:val="0"/>
          <w:numId w:val="7"/>
        </w:numPr>
        <w:rPr>
          <w:lang w:val="en-GB"/>
        </w:rPr>
      </w:pPr>
      <w:r w:rsidRPr="00115061">
        <w:rPr>
          <w:lang w:val="en-GB"/>
        </w:rPr>
        <w:t>key institutions (formal and informal) and their roles in operating the procurement system, including its controls</w:t>
      </w:r>
    </w:p>
    <w:p w14:paraId="5E696BE3" w14:textId="77777777" w:rsidR="00741465" w:rsidRPr="00115061" w:rsidRDefault="00741465" w:rsidP="00741465">
      <w:pPr>
        <w:pStyle w:val="ListParagraph"/>
        <w:numPr>
          <w:ilvl w:val="0"/>
          <w:numId w:val="7"/>
        </w:numPr>
        <w:rPr>
          <w:lang w:val="en-GB"/>
        </w:rPr>
      </w:pPr>
      <w:r w:rsidRPr="00115061">
        <w:rPr>
          <w:lang w:val="en-GB"/>
        </w:rPr>
        <w:t>mapping of key external stakeholders formally and informally linked to public procurement structures, their interests and avenues for engagement</w:t>
      </w:r>
    </w:p>
    <w:p w14:paraId="5F10CA81" w14:textId="0D5CDDE7" w:rsidR="00741465" w:rsidRPr="00741465" w:rsidRDefault="00741465">
      <w:pPr>
        <w:pStyle w:val="CommentText"/>
        <w:rPr>
          <w:lang w:val="en-GB"/>
        </w:rPr>
      </w:pPr>
    </w:p>
  </w:comment>
  <w:comment w:id="21" w:author="PENAGOS Nicolas, GOV/IPP" w:date="2022-11-30T15:35:00Z" w:initials="PNG">
    <w:p w14:paraId="4FC52239" w14:textId="198A079E" w:rsidR="00741465" w:rsidRDefault="00741465" w:rsidP="00741465">
      <w:pPr>
        <w:pStyle w:val="ListParagraph"/>
        <w:tabs>
          <w:tab w:val="left" w:pos="2565"/>
        </w:tabs>
        <w:ind w:left="0"/>
        <w:rPr>
          <w:lang w:val="en-GB"/>
        </w:rPr>
      </w:pPr>
      <w:r>
        <w:rPr>
          <w:rStyle w:val="CommentReference"/>
        </w:rPr>
        <w:annotationRef/>
      </w:r>
      <w:r>
        <w:rPr>
          <w:lang w:val="en-GB"/>
        </w:rPr>
        <w:t>This section includes:</w:t>
      </w:r>
    </w:p>
    <w:p w14:paraId="7AA98EF8" w14:textId="312767C8" w:rsidR="00741465" w:rsidRPr="00115061" w:rsidRDefault="00741465" w:rsidP="00741465">
      <w:pPr>
        <w:pStyle w:val="ListParagraph"/>
        <w:numPr>
          <w:ilvl w:val="0"/>
          <w:numId w:val="8"/>
        </w:numPr>
        <w:tabs>
          <w:tab w:val="left" w:pos="2565"/>
        </w:tabs>
        <w:rPr>
          <w:lang w:val="en-GB"/>
        </w:rPr>
      </w:pPr>
      <w:r w:rsidRPr="00115061">
        <w:rPr>
          <w:lang w:val="en-GB"/>
        </w:rPr>
        <w:t>general reform initiatives with a focus on issues that influence public procurement</w:t>
      </w:r>
    </w:p>
    <w:p w14:paraId="24D1071F" w14:textId="70FCE699" w:rsidR="00741465" w:rsidRPr="00741465" w:rsidRDefault="00741465" w:rsidP="00741465">
      <w:pPr>
        <w:pStyle w:val="ListParagraph"/>
        <w:numPr>
          <w:ilvl w:val="0"/>
          <w:numId w:val="8"/>
        </w:numPr>
        <w:tabs>
          <w:tab w:val="left" w:pos="2565"/>
        </w:tabs>
        <w:rPr>
          <w:lang w:val="en-GB"/>
        </w:rPr>
      </w:pPr>
      <w:r w:rsidRPr="00115061">
        <w:rPr>
          <w:lang w:val="en-GB"/>
        </w:rPr>
        <w:t>horizontal policy objectives</w:t>
      </w:r>
    </w:p>
  </w:comment>
  <w:comment w:id="23" w:author="PENAGOS Nicolas, GOV/IPP" w:date="2022-11-30T15:36:00Z" w:initials="PNG">
    <w:p w14:paraId="2628D963" w14:textId="77777777" w:rsidR="00741465" w:rsidRDefault="00741465">
      <w:pPr>
        <w:pStyle w:val="CommentText"/>
      </w:pPr>
      <w:r>
        <w:rPr>
          <w:rStyle w:val="CommentReference"/>
        </w:rPr>
        <w:annotationRef/>
      </w:r>
      <w:r>
        <w:t>This section includes:</w:t>
      </w:r>
    </w:p>
    <w:p w14:paraId="0828639D" w14:textId="77777777" w:rsidR="00741465" w:rsidRPr="00115061" w:rsidRDefault="00741465" w:rsidP="00741465">
      <w:pPr>
        <w:pStyle w:val="ListParagraph"/>
        <w:numPr>
          <w:ilvl w:val="0"/>
          <w:numId w:val="9"/>
        </w:numPr>
        <w:tabs>
          <w:tab w:val="left" w:pos="2565"/>
        </w:tabs>
        <w:rPr>
          <w:lang w:val="en-GB"/>
        </w:rPr>
      </w:pPr>
      <w:r w:rsidRPr="00115061">
        <w:rPr>
          <w:lang w:val="en-GB"/>
        </w:rPr>
        <w:t>public procurement reform in the past (brief history/legacies; lessons learned)</w:t>
      </w:r>
    </w:p>
    <w:p w14:paraId="10823DCD" w14:textId="77777777" w:rsidR="00741465" w:rsidRPr="00115061" w:rsidRDefault="00741465" w:rsidP="00741465">
      <w:pPr>
        <w:pStyle w:val="ListParagraph"/>
        <w:numPr>
          <w:ilvl w:val="0"/>
          <w:numId w:val="9"/>
        </w:numPr>
        <w:tabs>
          <w:tab w:val="left" w:pos="2565"/>
        </w:tabs>
        <w:rPr>
          <w:lang w:val="en-GB"/>
        </w:rPr>
      </w:pPr>
      <w:r w:rsidRPr="00115061">
        <w:rPr>
          <w:lang w:val="en-GB"/>
        </w:rPr>
        <w:t>public procurement priorities, policies, strategies and goals/targets, and their links with public sector/governance/other related reforms</w:t>
      </w:r>
    </w:p>
    <w:p w14:paraId="20BAF5A3" w14:textId="1720E3AA" w:rsidR="00741465" w:rsidRPr="00741465" w:rsidRDefault="00741465" w:rsidP="00741465">
      <w:pPr>
        <w:pStyle w:val="ListParagraph"/>
        <w:numPr>
          <w:ilvl w:val="0"/>
          <w:numId w:val="9"/>
        </w:numPr>
        <w:tabs>
          <w:tab w:val="left" w:pos="2565"/>
        </w:tabs>
        <w:rPr>
          <w:lang w:val="en-GB"/>
        </w:rPr>
      </w:pPr>
      <w:r w:rsidRPr="00115061">
        <w:rPr>
          <w:lang w:val="en-GB"/>
        </w:rPr>
        <w:t>incentives that can drive reforms; challenges that can impact the success of reforms</w:t>
      </w:r>
    </w:p>
  </w:comment>
  <w:comment w:id="27" w:author="PENAGOS Nicolas, GOV/IPP" w:date="2022-11-29T11:47:00Z" w:initials="PNG">
    <w:p w14:paraId="11739317" w14:textId="65FFFE36" w:rsidR="008F0BD6" w:rsidRDefault="008F0BD6">
      <w:pPr>
        <w:pStyle w:val="CommentText"/>
      </w:pPr>
      <w:r>
        <w:rPr>
          <w:rStyle w:val="CommentReference"/>
        </w:rPr>
        <w:annotationRef/>
      </w:r>
      <w:r>
        <w:t xml:space="preserve">Brief </w:t>
      </w:r>
      <w:r w:rsidR="00F548E0">
        <w:t xml:space="preserve">conclusion of the indicator, considering all the information collected at the sub-indicator level. </w:t>
      </w:r>
    </w:p>
  </w:comment>
  <w:comment w:id="28" w:author="GROOT Jeppe, GOV/IPP" w:date="2022-09-28T14:22:00Z" w:initials="GJG">
    <w:p w14:paraId="489E1CB9" w14:textId="4691DA1E" w:rsidR="00FF0AB0" w:rsidRDefault="00FF0AB0">
      <w:pPr>
        <w:pStyle w:val="CommentText"/>
      </w:pPr>
      <w:r>
        <w:rPr>
          <w:rStyle w:val="CommentReference"/>
        </w:rPr>
        <w:annotationRef/>
      </w:r>
      <w:r>
        <w:t xml:space="preserve">This section should provide a synthesis of the assessment for </w:t>
      </w:r>
      <w:r w:rsidR="005C422B">
        <w:t xml:space="preserve">all </w:t>
      </w:r>
      <w:r>
        <w:t>sub-indicator</w:t>
      </w:r>
      <w:r w:rsidR="005C422B">
        <w:t>s in the indicator</w:t>
      </w:r>
      <w:r>
        <w:t xml:space="preserve">, including both qualitative and quantitative aspects as applicable. </w:t>
      </w:r>
    </w:p>
  </w:comment>
  <w:comment w:id="29" w:author="GROOT Jeppe, GOV/IPP" w:date="2022-09-28T14:27:00Z" w:initials="GJG">
    <w:p w14:paraId="53D3AF33" w14:textId="2379FE12" w:rsidR="00FF0AB0" w:rsidRDefault="00FF0AB0">
      <w:pPr>
        <w:pStyle w:val="CommentText"/>
      </w:pPr>
      <w:r>
        <w:rPr>
          <w:rStyle w:val="CommentReference"/>
        </w:rPr>
        <w:annotationRef/>
      </w:r>
      <w:r>
        <w:t xml:space="preserve">This section should </w:t>
      </w:r>
      <w:r w:rsidR="00FD2CC0">
        <w:t>provide a synthesis of the</w:t>
      </w:r>
      <w:r>
        <w:t xml:space="preserve"> gaps identified</w:t>
      </w:r>
      <w:r w:rsidR="00970D60">
        <w:t xml:space="preserve"> in the indicator matrix</w:t>
      </w:r>
      <w:r>
        <w:t>. Substantive gaps should be clearly identified as such</w:t>
      </w:r>
      <w:r w:rsidR="00FD2CC0">
        <w:t xml:space="preserve"> and accompanied by a risk classification </w:t>
      </w:r>
      <w:r w:rsidR="00FC70DC">
        <w:t xml:space="preserve">(low/medium/high) </w:t>
      </w:r>
      <w:r w:rsidR="00FD2CC0">
        <w:t xml:space="preserve">and </w:t>
      </w:r>
      <w:r w:rsidR="00FC70DC">
        <w:t xml:space="preserve">an </w:t>
      </w:r>
      <w:r w:rsidR="00FD2CC0">
        <w:t xml:space="preserve">explanation of red flags (as applicable). </w:t>
      </w:r>
    </w:p>
  </w:comment>
  <w:comment w:id="30" w:author="GROOT Jeppe, GOV/IPP" w:date="2022-09-28T14:35:00Z" w:initials="GJG">
    <w:p w14:paraId="2427B6E1" w14:textId="2588D15F" w:rsidR="00FD2CC0" w:rsidRDefault="00FD2CC0">
      <w:pPr>
        <w:pStyle w:val="CommentText"/>
      </w:pPr>
      <w:r>
        <w:rPr>
          <w:rStyle w:val="CommentReference"/>
        </w:rPr>
        <w:annotationRef/>
      </w:r>
      <w:r>
        <w:t xml:space="preserve">This section should provide a synthesis of the recommendations proposed for the given </w:t>
      </w:r>
      <w:r w:rsidR="00C86C97">
        <w:t>i</w:t>
      </w:r>
      <w:r w:rsidR="00970D60">
        <w:t>ndicator</w:t>
      </w:r>
      <w:r w:rsidR="00C86C97">
        <w:t xml:space="preserve"> in the indicator matrix</w:t>
      </w:r>
      <w:r>
        <w:t xml:space="preserve">. </w:t>
      </w:r>
    </w:p>
  </w:comment>
  <w:comment w:id="31" w:author="PENAGOS Nicolas, GOV/IPP" w:date="2022-11-29T11:38:00Z" w:initials="PNG">
    <w:p w14:paraId="7EED2D53" w14:textId="2939A22A" w:rsidR="003F7914" w:rsidRDefault="003F7914">
      <w:pPr>
        <w:pStyle w:val="CommentText"/>
      </w:pPr>
      <w:r>
        <w:rPr>
          <w:rStyle w:val="CommentReference"/>
        </w:rPr>
        <w:annotationRef/>
      </w:r>
      <w:r>
        <w:t xml:space="preserve">Mention the </w:t>
      </w:r>
      <w:r w:rsidR="00D44A56">
        <w:t>sub-indicator that the gap refers to</w:t>
      </w:r>
      <w:r w:rsidR="00640862">
        <w:t xml:space="preserve"> and provide a brief description of the gap</w:t>
      </w:r>
      <w:r w:rsidR="00D44A56">
        <w:t xml:space="preserve">. </w:t>
      </w:r>
    </w:p>
  </w:comment>
  <w:comment w:id="45" w:author="GROOT Jeppe, GOV/IPP" w:date="2022-09-28T17:22:00Z" w:initials="GJG">
    <w:p w14:paraId="1874B02C" w14:textId="417C8429" w:rsidR="003A2345" w:rsidRDefault="003A2345">
      <w:pPr>
        <w:pStyle w:val="CommentText"/>
      </w:pPr>
      <w:r>
        <w:rPr>
          <w:rStyle w:val="CommentReference"/>
        </w:rPr>
        <w:annotationRef/>
      </w:r>
      <w:r w:rsidR="0069339E">
        <w:rPr>
          <w:lang w:val="en-GB"/>
        </w:rPr>
        <w:t xml:space="preserve">This section </w:t>
      </w:r>
      <w:r w:rsidR="00785E65">
        <w:rPr>
          <w:lang w:val="en-GB"/>
        </w:rPr>
        <w:t>shows</w:t>
      </w:r>
      <w:r w:rsidR="0069339E">
        <w:rPr>
          <w:lang w:val="en-GB"/>
        </w:rPr>
        <w:t xml:space="preserve"> in a single place all recommendations</w:t>
      </w:r>
      <w:r w:rsidR="000E1FB4">
        <w:rPr>
          <w:lang w:val="en-GB"/>
        </w:rPr>
        <w:t xml:space="preserve"> that were proposed throughout the report. </w:t>
      </w:r>
    </w:p>
  </w:comment>
  <w:comment w:id="47" w:author="PENAGOS Nicolas, GOV/IPP" w:date="2022-11-30T15:47:00Z" w:initials="PNG">
    <w:p w14:paraId="03EA778F" w14:textId="1A3F3038" w:rsidR="00CF5BBB" w:rsidRDefault="00CF5BBB">
      <w:pPr>
        <w:pStyle w:val="CommentText"/>
      </w:pPr>
      <w:r>
        <w:rPr>
          <w:rStyle w:val="CommentReference"/>
        </w:rPr>
        <w:annotationRef/>
      </w:r>
      <w:r w:rsidRPr="00115061">
        <w:rPr>
          <w:lang w:val="en-GB"/>
        </w:rPr>
        <w:t xml:space="preserve">This </w:t>
      </w:r>
      <w:r>
        <w:rPr>
          <w:lang w:val="en-GB"/>
        </w:rPr>
        <w:t>section</w:t>
      </w:r>
      <w:r w:rsidRPr="00115061">
        <w:rPr>
          <w:lang w:val="en-GB"/>
        </w:rPr>
        <w:t xml:space="preserve"> is </w:t>
      </w:r>
      <w:r>
        <w:rPr>
          <w:lang w:val="en-GB"/>
        </w:rPr>
        <w:t>used for</w:t>
      </w:r>
      <w:r w:rsidRPr="00115061">
        <w:rPr>
          <w:lang w:val="en-GB"/>
        </w:rPr>
        <w:t xml:space="preserve"> proposing an action plan </w:t>
      </w:r>
      <w:r>
        <w:rPr>
          <w:lang w:val="en-GB"/>
        </w:rPr>
        <w:t xml:space="preserve">based on the recommendations of the assessment. It should </w:t>
      </w:r>
      <w:r w:rsidR="00784011">
        <w:rPr>
          <w:lang w:val="en-GB"/>
        </w:rPr>
        <w:t>allow</w:t>
      </w:r>
      <w:r>
        <w:rPr>
          <w:lang w:val="en-GB"/>
        </w:rPr>
        <w:t xml:space="preserve"> actions</w:t>
      </w:r>
      <w:r w:rsidR="00784011">
        <w:rPr>
          <w:lang w:val="en-GB"/>
        </w:rPr>
        <w:t xml:space="preserve"> to be prioritised, and should at least include a description of the proposed actions, timeframe and responsible institutions. </w:t>
      </w:r>
      <w:r w:rsidR="00AC4445">
        <w:rPr>
          <w:lang w:val="en-GB"/>
        </w:rPr>
        <w:t xml:space="preserve">Assessors should also take </w:t>
      </w:r>
      <w:r>
        <w:rPr>
          <w:lang w:val="en-GB"/>
        </w:rPr>
        <w:t>into consideration possible risks</w:t>
      </w:r>
      <w:r w:rsidR="00AC4445">
        <w:rPr>
          <w:lang w:val="en-GB"/>
        </w:rPr>
        <w:t xml:space="preserve"> (especially those for which red flags were raised)</w:t>
      </w:r>
      <w:r>
        <w:rPr>
          <w:lang w:val="en-GB"/>
        </w:rPr>
        <w:t>, as well as required resources and envisaged outcomes</w:t>
      </w:r>
      <w:r w:rsidR="00AC4445">
        <w:rPr>
          <w:lang w:val="en-GB"/>
        </w:rPr>
        <w:t xml:space="preserve"> when designing this action plan. </w:t>
      </w:r>
    </w:p>
  </w:comment>
  <w:comment w:id="49" w:author="GROOT Jeppe, GOV/IPP" w:date="2022-09-28T17:22:00Z" w:initials="GJG">
    <w:p w14:paraId="1E1E3E3E" w14:textId="6953DFC1" w:rsidR="003A2345" w:rsidRDefault="003A2345">
      <w:pPr>
        <w:pStyle w:val="CommentText"/>
      </w:pPr>
      <w:r>
        <w:rPr>
          <w:rStyle w:val="CommentReference"/>
        </w:rPr>
        <w:annotationRef/>
      </w:r>
      <w:r>
        <w:rPr>
          <w:lang w:val="en-GB"/>
        </w:rPr>
        <w:t xml:space="preserve">This </w:t>
      </w:r>
      <w:r w:rsidR="00CF5BBB">
        <w:rPr>
          <w:lang w:val="en-GB"/>
        </w:rPr>
        <w:t>section</w:t>
      </w:r>
      <w:r>
        <w:rPr>
          <w:lang w:val="en-GB"/>
        </w:rPr>
        <w:t xml:space="preserve"> should describe v</w:t>
      </w:r>
      <w:r w:rsidRPr="00115061">
        <w:rPr>
          <w:lang w:val="en-GB"/>
        </w:rPr>
        <w:t>alidation process, disagreements regarding assessment results</w:t>
      </w:r>
      <w:r>
        <w:rPr>
          <w:lang w:val="en-GB"/>
        </w:rPr>
        <w:t xml:space="preserve"> (if applicable)</w:t>
      </w:r>
      <w:r w:rsidRPr="00115061">
        <w:rPr>
          <w:lang w:val="en-GB"/>
        </w:rPr>
        <w:t xml:space="preserve">, </w:t>
      </w:r>
      <w:r>
        <w:rPr>
          <w:lang w:val="en-GB"/>
        </w:rPr>
        <w:t>i</w:t>
      </w:r>
      <w:r w:rsidRPr="00115061">
        <w:rPr>
          <w:lang w:val="en-GB"/>
        </w:rPr>
        <w:t>nformation on MAPS Quality assurance process</w:t>
      </w:r>
      <w:r>
        <w:rPr>
          <w:lang w:val="en-GB"/>
        </w:rPr>
        <w:t xml:space="preserve"> (if comments from ATAG/the Secretariat were received and how they were dealt with).</w:t>
      </w:r>
    </w:p>
  </w:comment>
  <w:comment w:id="51" w:author="GROOT Jeppe, GOV/IPP" w:date="2022-09-28T17:18:00Z" w:initials="GJG">
    <w:p w14:paraId="4F28BC83" w14:textId="77777777" w:rsidR="003A2345" w:rsidRDefault="003A2345" w:rsidP="003A2345">
      <w:pPr>
        <w:rPr>
          <w:lang w:val="en-GB"/>
        </w:rPr>
      </w:pPr>
      <w:r>
        <w:rPr>
          <w:rStyle w:val="CommentReference"/>
        </w:rPr>
        <w:annotationRef/>
      </w:r>
      <w:r>
        <w:rPr>
          <w:lang w:val="en-GB"/>
        </w:rPr>
        <w:t>Annexes should include f</w:t>
      </w:r>
      <w:r w:rsidRPr="00115061">
        <w:rPr>
          <w:lang w:val="en-GB"/>
        </w:rPr>
        <w:t>urther information supporting the assessment</w:t>
      </w:r>
      <w:r>
        <w:rPr>
          <w:lang w:val="en-GB"/>
        </w:rPr>
        <w:t>.</w:t>
      </w:r>
    </w:p>
    <w:p w14:paraId="490CF4F0" w14:textId="77777777" w:rsidR="003A2345" w:rsidRDefault="003A2345" w:rsidP="003A2345">
      <w:pPr>
        <w:rPr>
          <w:lang w:val="en-GB"/>
        </w:rPr>
      </w:pPr>
    </w:p>
    <w:p w14:paraId="250F5833" w14:textId="77777777" w:rsidR="003A2345" w:rsidRDefault="003A2345" w:rsidP="003A2345">
      <w:pPr>
        <w:rPr>
          <w:lang w:val="en-GB"/>
        </w:rPr>
      </w:pPr>
      <w:r>
        <w:rPr>
          <w:lang w:val="en-GB"/>
        </w:rPr>
        <w:t>The following must be included:</w:t>
      </w:r>
    </w:p>
    <w:p w14:paraId="0D091694" w14:textId="77777777" w:rsidR="003A2345" w:rsidRDefault="003A2345" w:rsidP="003A2345">
      <w:pPr>
        <w:rPr>
          <w:lang w:val="en-GB"/>
        </w:rPr>
      </w:pPr>
    </w:p>
    <w:p w14:paraId="6837AF9A" w14:textId="12376C73" w:rsidR="003A2345" w:rsidRDefault="003A2345" w:rsidP="003A2345">
      <w:pPr>
        <w:pStyle w:val="ListParagraph"/>
        <w:numPr>
          <w:ilvl w:val="0"/>
          <w:numId w:val="13"/>
        </w:numPr>
        <w:rPr>
          <w:lang w:val="en-GB"/>
        </w:rPr>
      </w:pPr>
      <w:r>
        <w:rPr>
          <w:lang w:val="en-GB"/>
        </w:rPr>
        <w:t xml:space="preserve"> D</w:t>
      </w:r>
      <w:r w:rsidRPr="003A2345">
        <w:rPr>
          <w:lang w:val="en-GB"/>
        </w:rPr>
        <w:t>etailed assessment results (i.e. at sub-indicator level using the indicator matrix template)</w:t>
      </w:r>
    </w:p>
    <w:p w14:paraId="7348234F" w14:textId="190B5981" w:rsidR="003A2345" w:rsidRPr="003A2345" w:rsidRDefault="003A2345" w:rsidP="003A2345">
      <w:pPr>
        <w:pStyle w:val="ListParagraph"/>
        <w:numPr>
          <w:ilvl w:val="0"/>
          <w:numId w:val="13"/>
        </w:numPr>
        <w:rPr>
          <w:lang w:val="en-GB"/>
        </w:rPr>
      </w:pPr>
      <w:r w:rsidRPr="003A2345">
        <w:rPr>
          <w:lang w:val="en-GB"/>
        </w:rPr>
        <w:t xml:space="preserve"> </w:t>
      </w:r>
      <w:r w:rsidR="00C83961">
        <w:rPr>
          <w:lang w:val="en-GB"/>
        </w:rPr>
        <w:t>C</w:t>
      </w:r>
      <w:r w:rsidRPr="003A2345">
        <w:rPr>
          <w:lang w:val="en-GB"/>
        </w:rPr>
        <w:t>oncept note for the a</w:t>
      </w:r>
      <w:r>
        <w:rPr>
          <w:lang w:val="en-GB"/>
        </w:rPr>
        <w:t>ssessment</w:t>
      </w:r>
    </w:p>
    <w:p w14:paraId="0AD8F52D" w14:textId="4042809C" w:rsidR="003A2345" w:rsidRPr="003A2345" w:rsidRDefault="003A2345" w:rsidP="003A2345">
      <w:pPr>
        <w:pStyle w:val="ListParagraph"/>
        <w:ind w:left="0"/>
        <w:rPr>
          <w:lang w:val="en-GB"/>
        </w:rPr>
      </w:pPr>
    </w:p>
    <w:p w14:paraId="524CC287" w14:textId="1407ADEF" w:rsidR="003A2345" w:rsidRDefault="003A2345" w:rsidP="003A2345">
      <w:pPr>
        <w:pStyle w:val="ListParagraph"/>
        <w:ind w:left="0"/>
        <w:rPr>
          <w:lang w:val="en-GB"/>
        </w:rPr>
      </w:pPr>
      <w:r>
        <w:rPr>
          <w:lang w:val="en-GB"/>
        </w:rPr>
        <w:t>It is recommended also to include:</w:t>
      </w:r>
    </w:p>
    <w:p w14:paraId="3F7F9BD7" w14:textId="5106F024" w:rsidR="003A2345" w:rsidRPr="003A2345" w:rsidRDefault="003A2345" w:rsidP="003A2345">
      <w:pPr>
        <w:pStyle w:val="ListParagraph"/>
        <w:numPr>
          <w:ilvl w:val="0"/>
          <w:numId w:val="13"/>
        </w:numPr>
        <w:rPr>
          <w:lang w:val="en-GB"/>
        </w:rPr>
      </w:pPr>
      <w:r>
        <w:rPr>
          <w:lang w:val="en-GB"/>
        </w:rPr>
        <w:t xml:space="preserve"> Questionnaires used for surveys, interviews etc.</w:t>
      </w:r>
    </w:p>
    <w:p w14:paraId="72F9E142" w14:textId="3757B06B" w:rsidR="003A2345" w:rsidRPr="003A2345" w:rsidRDefault="003A2345" w:rsidP="003A2345">
      <w:pPr>
        <w:pStyle w:val="ListParagraph"/>
        <w:numPr>
          <w:ilvl w:val="0"/>
          <w:numId w:val="13"/>
        </w:numPr>
        <w:rPr>
          <w:lang w:val="en-GB"/>
        </w:rPr>
      </w:pPr>
      <w:r>
        <w:rPr>
          <w:lang w:val="en-GB"/>
        </w:rPr>
        <w:t xml:space="preserve"> W</w:t>
      </w:r>
      <w:r w:rsidRPr="003A2345">
        <w:rPr>
          <w:lang w:val="en-GB"/>
        </w:rPr>
        <w:t xml:space="preserve">eb links </w:t>
      </w:r>
      <w:r>
        <w:rPr>
          <w:lang w:val="en-GB"/>
        </w:rPr>
        <w:t>to involved</w:t>
      </w:r>
      <w:r w:rsidRPr="003A2345">
        <w:rPr>
          <w:lang w:val="en-GB"/>
        </w:rPr>
        <w:t xml:space="preserve"> institutions</w:t>
      </w:r>
      <w:r>
        <w:rPr>
          <w:lang w:val="en-GB"/>
        </w:rPr>
        <w:t>,</w:t>
      </w:r>
      <w:r w:rsidRPr="003A2345">
        <w:rPr>
          <w:lang w:val="en-GB"/>
        </w:rPr>
        <w:t xml:space="preserve"> </w:t>
      </w:r>
      <w:r>
        <w:rPr>
          <w:lang w:val="en-GB"/>
        </w:rPr>
        <w:t>other</w:t>
      </w:r>
      <w:r w:rsidRPr="003A2345">
        <w:rPr>
          <w:lang w:val="en-GB"/>
        </w:rPr>
        <w:t xml:space="preserve"> assessments, relevant laws, statistics, etc.</w:t>
      </w:r>
    </w:p>
    <w:p w14:paraId="6F8039EF" w14:textId="774385D4" w:rsidR="003A2345" w:rsidRPr="003A2345" w:rsidRDefault="003A2345">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6D112C" w15:done="0"/>
  <w15:commentEx w15:paraId="2BC0DC03" w15:done="0"/>
  <w15:commentEx w15:paraId="4ADADF97" w15:done="0"/>
  <w15:commentEx w15:paraId="132A5CD4" w15:done="0"/>
  <w15:commentEx w15:paraId="549F83F4" w15:done="0"/>
  <w15:commentEx w15:paraId="5482687C" w15:done="0"/>
  <w15:commentEx w15:paraId="09954055" w15:done="0"/>
  <w15:commentEx w15:paraId="6DB68654" w15:done="0"/>
  <w15:commentEx w15:paraId="25862EAF" w15:done="0"/>
  <w15:commentEx w15:paraId="259F4FF6" w15:done="0"/>
  <w15:commentEx w15:paraId="5F10CA81" w15:done="0"/>
  <w15:commentEx w15:paraId="24D1071F" w15:done="0"/>
  <w15:commentEx w15:paraId="20BAF5A3" w15:done="0"/>
  <w15:commentEx w15:paraId="11739317" w15:done="0"/>
  <w15:commentEx w15:paraId="489E1CB9" w15:done="0"/>
  <w15:commentEx w15:paraId="53D3AF33" w15:done="0"/>
  <w15:commentEx w15:paraId="2427B6E1" w15:done="0"/>
  <w15:commentEx w15:paraId="7EED2D53" w15:done="0"/>
  <w15:commentEx w15:paraId="1874B02C" w15:done="0"/>
  <w15:commentEx w15:paraId="03EA778F" w15:done="0"/>
  <w15:commentEx w15:paraId="1E1E3E3E" w15:done="0"/>
  <w15:commentEx w15:paraId="6F8039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F5BF" w16cex:dateUtc="2022-11-30T14:31:00Z"/>
  <w16cex:commentExtensible w16cex:durableId="26A783A0" w16cex:dateUtc="2022-08-17T13:11:00Z"/>
  <w16cex:commentExtensible w16cex:durableId="26DECFDA" w16cex:dateUtc="2022-09-28T11:51:00Z"/>
  <w16cex:commentExtensible w16cex:durableId="26A65045" w16cex:dateUtc="2022-08-16T15:20:00Z"/>
  <w16cex:commentExtensible w16cex:durableId="27725C01" w16cex:dateUtc="2023-01-18T10:52:00Z"/>
  <w16cex:commentExtensible w16cex:durableId="26A64EF0" w16cex:dateUtc="2022-08-16T15:14:00Z"/>
  <w16cex:commentExtensible w16cex:durableId="26DEFE02" w16cex:dateUtc="2022-09-28T15:08:00Z"/>
  <w16cex:commentExtensible w16cex:durableId="26DEFCB9" w16cex:dateUtc="2022-09-28T15:02:00Z"/>
  <w16cex:commentExtensible w16cex:durableId="27D0502A" w16cex:dateUtc="2023-03-30T16:15:00Z"/>
  <w16cex:commentExtensible w16cex:durableId="2731F66D" w16cex:dateUtc="2022-11-30T14:34:00Z"/>
  <w16cex:commentExtensible w16cex:durableId="2731F692" w16cex:dateUtc="2022-11-30T14:34:00Z"/>
  <w16cex:commentExtensible w16cex:durableId="2731F6C1" w16cex:dateUtc="2022-11-30T14:35:00Z"/>
  <w16cex:commentExtensible w16cex:durableId="2731F6E2" w16cex:dateUtc="2022-11-30T14:36:00Z"/>
  <w16cex:commentExtensible w16cex:durableId="27306FCB" w16cex:dateUtc="2022-11-29T10:47:00Z"/>
  <w16cex:commentExtensible w16cex:durableId="26DED729" w16cex:dateUtc="2022-09-28T12:22:00Z"/>
  <w16cex:commentExtensible w16cex:durableId="26DED849" w16cex:dateUtc="2022-09-28T12:27:00Z"/>
  <w16cex:commentExtensible w16cex:durableId="26DEDA15" w16cex:dateUtc="2022-09-28T12:35:00Z"/>
  <w16cex:commentExtensible w16cex:durableId="27306D9B" w16cex:dateUtc="2022-11-29T10:38:00Z"/>
  <w16cex:commentExtensible w16cex:durableId="26DF016A" w16cex:dateUtc="2022-09-28T15:22:00Z"/>
  <w16cex:commentExtensible w16cex:durableId="2731F983" w16cex:dateUtc="2022-11-30T14:47:00Z"/>
  <w16cex:commentExtensible w16cex:durableId="26DF015A" w16cex:dateUtc="2022-09-28T15:22:00Z"/>
  <w16cex:commentExtensible w16cex:durableId="26DF0073" w16cex:dateUtc="2022-09-2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6D112C" w16cid:durableId="2731F5BF"/>
  <w16cid:commentId w16cid:paraId="2BC0DC03" w16cid:durableId="26A783A0"/>
  <w16cid:commentId w16cid:paraId="4ADADF97" w16cid:durableId="26DECFDA"/>
  <w16cid:commentId w16cid:paraId="132A5CD4" w16cid:durableId="26A65045"/>
  <w16cid:commentId w16cid:paraId="549F83F4" w16cid:durableId="27725C01"/>
  <w16cid:commentId w16cid:paraId="5482687C" w16cid:durableId="26A64EF0"/>
  <w16cid:commentId w16cid:paraId="09954055" w16cid:durableId="26DEFE02"/>
  <w16cid:commentId w16cid:paraId="6DB68654" w16cid:durableId="26DEFCB9"/>
  <w16cid:commentId w16cid:paraId="25862EAF" w16cid:durableId="27D0502A"/>
  <w16cid:commentId w16cid:paraId="259F4FF6" w16cid:durableId="2731F66D"/>
  <w16cid:commentId w16cid:paraId="5F10CA81" w16cid:durableId="2731F692"/>
  <w16cid:commentId w16cid:paraId="24D1071F" w16cid:durableId="2731F6C1"/>
  <w16cid:commentId w16cid:paraId="20BAF5A3" w16cid:durableId="2731F6E2"/>
  <w16cid:commentId w16cid:paraId="11739317" w16cid:durableId="27306FCB"/>
  <w16cid:commentId w16cid:paraId="489E1CB9" w16cid:durableId="26DED729"/>
  <w16cid:commentId w16cid:paraId="53D3AF33" w16cid:durableId="26DED849"/>
  <w16cid:commentId w16cid:paraId="2427B6E1" w16cid:durableId="26DEDA15"/>
  <w16cid:commentId w16cid:paraId="7EED2D53" w16cid:durableId="27306D9B"/>
  <w16cid:commentId w16cid:paraId="1874B02C" w16cid:durableId="26DF016A"/>
  <w16cid:commentId w16cid:paraId="03EA778F" w16cid:durableId="2731F983"/>
  <w16cid:commentId w16cid:paraId="1E1E3E3E" w16cid:durableId="26DF015A"/>
  <w16cid:commentId w16cid:paraId="6F8039EF" w16cid:durableId="26DF00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B190" w14:textId="77777777" w:rsidR="006D18F1" w:rsidRDefault="006D18F1" w:rsidP="00855982">
      <w:pPr>
        <w:spacing w:after="0" w:line="240" w:lineRule="auto"/>
      </w:pPr>
      <w:r>
        <w:separator/>
      </w:r>
    </w:p>
  </w:endnote>
  <w:endnote w:type="continuationSeparator" w:id="0">
    <w:p w14:paraId="584BC89E" w14:textId="77777777" w:rsidR="006D18F1" w:rsidRDefault="006D18F1" w:rsidP="00855982">
      <w:pPr>
        <w:spacing w:after="0" w:line="240" w:lineRule="auto"/>
      </w:pPr>
      <w:r>
        <w:continuationSeparator/>
      </w:r>
    </w:p>
  </w:endnote>
  <w:endnote w:type="continuationNotice" w:id="1">
    <w:p w14:paraId="65361EAB" w14:textId="77777777" w:rsidR="006D18F1" w:rsidRDefault="006D1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icksand">
    <w:panose1 w:val="00000500000000000000"/>
    <w:charset w:val="00"/>
    <w:family w:val="auto"/>
    <w:pitch w:val="variable"/>
    <w:sig w:usb0="2000000F" w:usb1="00000001" w:usb2="00000000" w:usb3="00000000" w:csb0="00000193"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0C74BB36" w14:textId="7BDA3396" w:rsidR="00620EA8" w:rsidRDefault="00620EA8" w:rsidP="00205A60">
        <w:pPr>
          <w:pStyle w:val="Footer"/>
          <w:jc w:val="left"/>
        </w:pPr>
        <w:r>
          <w:rPr>
            <w:noProof/>
            <w:lang w:val="en-GB" w:eastAsia="en-GB"/>
          </w:rPr>
          <w:drawing>
            <wp:anchor distT="0" distB="0" distL="114300" distR="114300" simplePos="0" relativeHeight="251658240" behindDoc="1" locked="0" layoutInCell="1" allowOverlap="1" wp14:anchorId="0C74BB37" wp14:editId="0C74BB38">
              <wp:simplePos x="0" y="0"/>
              <wp:positionH relativeFrom="margin">
                <wp:align>right</wp:align>
              </wp:positionH>
              <wp:positionV relativeFrom="paragraph">
                <wp:posOffset>-286385</wp:posOffset>
              </wp:positionV>
              <wp:extent cx="561340" cy="556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rsidR="00AC7795">
          <w:rPr>
            <w:noProof/>
          </w:rPr>
          <w:fldChar w:fldCharType="begin"/>
        </w:r>
        <w:r w:rsidR="00AC7795">
          <w:rPr>
            <w:noProof/>
          </w:rPr>
          <w:instrText xml:space="preserve"> PAGE   \* MERGEFORMAT </w:instrText>
        </w:r>
        <w:r w:rsidR="00AC7795">
          <w:rPr>
            <w:noProof/>
          </w:rPr>
          <w:fldChar w:fldCharType="separate"/>
        </w:r>
        <w:r w:rsidR="007723AF">
          <w:rPr>
            <w:noProof/>
          </w:rPr>
          <w:t>1</w:t>
        </w:r>
        <w:r w:rsidR="00AC779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7BAA" w14:textId="77777777" w:rsidR="006D18F1" w:rsidRDefault="006D18F1" w:rsidP="00855982">
      <w:pPr>
        <w:spacing w:after="0" w:line="240" w:lineRule="auto"/>
      </w:pPr>
      <w:r>
        <w:separator/>
      </w:r>
    </w:p>
  </w:footnote>
  <w:footnote w:type="continuationSeparator" w:id="0">
    <w:p w14:paraId="041D4233" w14:textId="77777777" w:rsidR="006D18F1" w:rsidRDefault="006D18F1" w:rsidP="00855982">
      <w:pPr>
        <w:spacing w:after="0" w:line="240" w:lineRule="auto"/>
      </w:pPr>
      <w:r>
        <w:continuationSeparator/>
      </w:r>
    </w:p>
  </w:footnote>
  <w:footnote w:type="continuationNotice" w:id="1">
    <w:p w14:paraId="06C6DDF9" w14:textId="77777777" w:rsidR="006D18F1" w:rsidRDefault="006D18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783"/>
    <w:multiLevelType w:val="hybridMultilevel"/>
    <w:tmpl w:val="7D5EF3E0"/>
    <w:lvl w:ilvl="0" w:tplc="F04AF29C">
      <w:start w:val="25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102AF0"/>
    <w:multiLevelType w:val="hybridMultilevel"/>
    <w:tmpl w:val="066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41A25"/>
    <w:multiLevelType w:val="hybridMultilevel"/>
    <w:tmpl w:val="56428274"/>
    <w:lvl w:ilvl="0" w:tplc="F04AF29C">
      <w:start w:val="25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234B9"/>
    <w:multiLevelType w:val="hybridMultilevel"/>
    <w:tmpl w:val="F8AC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A6CC7"/>
    <w:multiLevelType w:val="hybridMultilevel"/>
    <w:tmpl w:val="D6DA23DE"/>
    <w:lvl w:ilvl="0" w:tplc="DFF2FB0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0E05"/>
    <w:multiLevelType w:val="hybridMultilevel"/>
    <w:tmpl w:val="0698350C"/>
    <w:lvl w:ilvl="0" w:tplc="F04AF29C">
      <w:start w:val="25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E081F"/>
    <w:multiLevelType w:val="hybridMultilevel"/>
    <w:tmpl w:val="75D4D71A"/>
    <w:lvl w:ilvl="0" w:tplc="F04AF29C">
      <w:start w:val="251"/>
      <w:numFmt w:val="bullet"/>
      <w:lvlText w:val="-"/>
      <w:lvlJc w:val="left"/>
      <w:pPr>
        <w:ind w:left="360" w:hanging="360"/>
      </w:pPr>
      <w:rPr>
        <w:rFonts w:ascii="Calibri" w:eastAsiaTheme="minorEastAsia" w:hAnsi="Calibri" w:cs="Calibri" w:hint="default"/>
      </w:rPr>
    </w:lvl>
    <w:lvl w:ilvl="1" w:tplc="826E1464">
      <w:numFmt w:val="bullet"/>
      <w:lvlText w:val="•"/>
      <w:lvlJc w:val="left"/>
      <w:pPr>
        <w:ind w:left="1425" w:hanging="705"/>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CA13D8"/>
    <w:multiLevelType w:val="hybridMultilevel"/>
    <w:tmpl w:val="4F746D5C"/>
    <w:lvl w:ilvl="0" w:tplc="04D25048">
      <w:start w:val="251"/>
      <w:numFmt w:val="bullet"/>
      <w:lvlText w:val="•"/>
      <w:lvlJc w:val="left"/>
      <w:pPr>
        <w:ind w:left="1070" w:hanging="71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04D0F"/>
    <w:multiLevelType w:val="hybridMultilevel"/>
    <w:tmpl w:val="75363C0E"/>
    <w:lvl w:ilvl="0" w:tplc="665097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D55BF"/>
    <w:multiLevelType w:val="hybridMultilevel"/>
    <w:tmpl w:val="B2944548"/>
    <w:lvl w:ilvl="0" w:tplc="08090001">
      <w:start w:val="1"/>
      <w:numFmt w:val="bullet"/>
      <w:lvlText w:val=""/>
      <w:lvlJc w:val="left"/>
      <w:pPr>
        <w:ind w:left="720" w:hanging="360"/>
      </w:pPr>
      <w:rPr>
        <w:rFonts w:ascii="Symbol" w:hAnsi="Symbol" w:hint="default"/>
      </w:rPr>
    </w:lvl>
    <w:lvl w:ilvl="1" w:tplc="826E1464">
      <w:numFmt w:val="bullet"/>
      <w:lvlText w:val="•"/>
      <w:lvlJc w:val="left"/>
      <w:pPr>
        <w:ind w:left="1785" w:hanging="705"/>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940CA6"/>
    <w:multiLevelType w:val="hybridMultilevel"/>
    <w:tmpl w:val="F1C8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724F6"/>
    <w:multiLevelType w:val="hybridMultilevel"/>
    <w:tmpl w:val="602263E4"/>
    <w:lvl w:ilvl="0" w:tplc="A2EA5A1C">
      <w:start w:val="1"/>
      <w:numFmt w:val="bullet"/>
      <w:lvlText w:val="-"/>
      <w:lvlJc w:val="left"/>
      <w:pPr>
        <w:tabs>
          <w:tab w:val="num" w:pos="720"/>
        </w:tabs>
        <w:ind w:left="720" w:hanging="360"/>
      </w:pPr>
      <w:rPr>
        <w:rFonts w:ascii="Times New Roman" w:hAnsi="Times New Roman" w:hint="default"/>
      </w:rPr>
    </w:lvl>
    <w:lvl w:ilvl="1" w:tplc="6544397C">
      <w:start w:val="1"/>
      <w:numFmt w:val="bullet"/>
      <w:lvlText w:val="-"/>
      <w:lvlJc w:val="left"/>
      <w:pPr>
        <w:tabs>
          <w:tab w:val="num" w:pos="1440"/>
        </w:tabs>
        <w:ind w:left="1440" w:hanging="360"/>
      </w:pPr>
      <w:rPr>
        <w:rFonts w:ascii="Times New Roman" w:hAnsi="Times New Roman" w:hint="default"/>
      </w:rPr>
    </w:lvl>
    <w:lvl w:ilvl="2" w:tplc="A8820AF6" w:tentative="1">
      <w:start w:val="1"/>
      <w:numFmt w:val="bullet"/>
      <w:lvlText w:val="-"/>
      <w:lvlJc w:val="left"/>
      <w:pPr>
        <w:tabs>
          <w:tab w:val="num" w:pos="2160"/>
        </w:tabs>
        <w:ind w:left="2160" w:hanging="360"/>
      </w:pPr>
      <w:rPr>
        <w:rFonts w:ascii="Times New Roman" w:hAnsi="Times New Roman" w:hint="default"/>
      </w:rPr>
    </w:lvl>
    <w:lvl w:ilvl="3" w:tplc="DE7AA240" w:tentative="1">
      <w:start w:val="1"/>
      <w:numFmt w:val="bullet"/>
      <w:lvlText w:val="-"/>
      <w:lvlJc w:val="left"/>
      <w:pPr>
        <w:tabs>
          <w:tab w:val="num" w:pos="2880"/>
        </w:tabs>
        <w:ind w:left="2880" w:hanging="360"/>
      </w:pPr>
      <w:rPr>
        <w:rFonts w:ascii="Times New Roman" w:hAnsi="Times New Roman" w:hint="default"/>
      </w:rPr>
    </w:lvl>
    <w:lvl w:ilvl="4" w:tplc="F6943ABC" w:tentative="1">
      <w:start w:val="1"/>
      <w:numFmt w:val="bullet"/>
      <w:lvlText w:val="-"/>
      <w:lvlJc w:val="left"/>
      <w:pPr>
        <w:tabs>
          <w:tab w:val="num" w:pos="3600"/>
        </w:tabs>
        <w:ind w:left="3600" w:hanging="360"/>
      </w:pPr>
      <w:rPr>
        <w:rFonts w:ascii="Times New Roman" w:hAnsi="Times New Roman" w:hint="default"/>
      </w:rPr>
    </w:lvl>
    <w:lvl w:ilvl="5" w:tplc="C6E49C58" w:tentative="1">
      <w:start w:val="1"/>
      <w:numFmt w:val="bullet"/>
      <w:lvlText w:val="-"/>
      <w:lvlJc w:val="left"/>
      <w:pPr>
        <w:tabs>
          <w:tab w:val="num" w:pos="4320"/>
        </w:tabs>
        <w:ind w:left="4320" w:hanging="360"/>
      </w:pPr>
      <w:rPr>
        <w:rFonts w:ascii="Times New Roman" w:hAnsi="Times New Roman" w:hint="default"/>
      </w:rPr>
    </w:lvl>
    <w:lvl w:ilvl="6" w:tplc="657220EE" w:tentative="1">
      <w:start w:val="1"/>
      <w:numFmt w:val="bullet"/>
      <w:lvlText w:val="-"/>
      <w:lvlJc w:val="left"/>
      <w:pPr>
        <w:tabs>
          <w:tab w:val="num" w:pos="5040"/>
        </w:tabs>
        <w:ind w:left="5040" w:hanging="360"/>
      </w:pPr>
      <w:rPr>
        <w:rFonts w:ascii="Times New Roman" w:hAnsi="Times New Roman" w:hint="default"/>
      </w:rPr>
    </w:lvl>
    <w:lvl w:ilvl="7" w:tplc="B7EC5236" w:tentative="1">
      <w:start w:val="1"/>
      <w:numFmt w:val="bullet"/>
      <w:lvlText w:val="-"/>
      <w:lvlJc w:val="left"/>
      <w:pPr>
        <w:tabs>
          <w:tab w:val="num" w:pos="5760"/>
        </w:tabs>
        <w:ind w:left="5760" w:hanging="360"/>
      </w:pPr>
      <w:rPr>
        <w:rFonts w:ascii="Times New Roman" w:hAnsi="Times New Roman" w:hint="default"/>
      </w:rPr>
    </w:lvl>
    <w:lvl w:ilvl="8" w:tplc="7358623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56D65C8"/>
    <w:multiLevelType w:val="hybridMultilevel"/>
    <w:tmpl w:val="E4A2BA78"/>
    <w:lvl w:ilvl="0" w:tplc="F04AF29C">
      <w:start w:val="251"/>
      <w:numFmt w:val="bullet"/>
      <w:lvlText w:val="-"/>
      <w:lvlJc w:val="left"/>
      <w:pPr>
        <w:ind w:left="360" w:hanging="360"/>
      </w:pPr>
      <w:rPr>
        <w:rFonts w:ascii="Calibri" w:eastAsiaTheme="minorEastAsia" w:hAnsi="Calibri" w:cs="Calibri" w:hint="default"/>
      </w:rPr>
    </w:lvl>
    <w:lvl w:ilvl="1" w:tplc="826E1464">
      <w:numFmt w:val="bullet"/>
      <w:lvlText w:val="•"/>
      <w:lvlJc w:val="left"/>
      <w:pPr>
        <w:ind w:left="1425" w:hanging="705"/>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3245557">
    <w:abstractNumId w:val="13"/>
  </w:num>
  <w:num w:numId="2" w16cid:durableId="1919243164">
    <w:abstractNumId w:val="9"/>
  </w:num>
  <w:num w:numId="3" w16cid:durableId="842361768">
    <w:abstractNumId w:val="7"/>
  </w:num>
  <w:num w:numId="4" w16cid:durableId="1497258660">
    <w:abstractNumId w:val="2"/>
  </w:num>
  <w:num w:numId="5" w16cid:durableId="1334989174">
    <w:abstractNumId w:val="5"/>
  </w:num>
  <w:num w:numId="6" w16cid:durableId="47069593">
    <w:abstractNumId w:val="3"/>
  </w:num>
  <w:num w:numId="7" w16cid:durableId="1425951111">
    <w:abstractNumId w:val="12"/>
  </w:num>
  <w:num w:numId="8" w16cid:durableId="2057006040">
    <w:abstractNumId w:val="6"/>
  </w:num>
  <w:num w:numId="9" w16cid:durableId="1260330804">
    <w:abstractNumId w:val="0"/>
  </w:num>
  <w:num w:numId="10" w16cid:durableId="1472551967">
    <w:abstractNumId w:val="10"/>
  </w:num>
  <w:num w:numId="11" w16cid:durableId="432479236">
    <w:abstractNumId w:val="4"/>
  </w:num>
  <w:num w:numId="12" w16cid:durableId="1045518660">
    <w:abstractNumId w:val="1"/>
  </w:num>
  <w:num w:numId="13" w16cid:durableId="209924917">
    <w:abstractNumId w:val="8"/>
  </w:num>
  <w:num w:numId="14" w16cid:durableId="1023869934">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AGOS Nicolas, GOV/IPP">
    <w15:presenceInfo w15:providerId="AD" w15:userId="S::Nicolas.PENAGOS@mapsinitiative.org::289f8a51-c331-4fc8-9cdc-597065ef30fe"/>
  </w15:person>
  <w15:person w15:author="GROOT Jeppe, GOV/IPP">
    <w15:presenceInfo w15:providerId="AD" w15:userId="S::Jeppe.GROOT@mapsinitiative.org::abbb9493-3941-4da7-b1ff-32daa9146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98"/>
    <w:rsid w:val="000021D6"/>
    <w:rsid w:val="00012B1C"/>
    <w:rsid w:val="00020CCC"/>
    <w:rsid w:val="00026204"/>
    <w:rsid w:val="00027E4F"/>
    <w:rsid w:val="0003157F"/>
    <w:rsid w:val="00042327"/>
    <w:rsid w:val="00064E84"/>
    <w:rsid w:val="00084158"/>
    <w:rsid w:val="00086517"/>
    <w:rsid w:val="00094E85"/>
    <w:rsid w:val="000A741E"/>
    <w:rsid w:val="000B10EE"/>
    <w:rsid w:val="000B7C00"/>
    <w:rsid w:val="000D0570"/>
    <w:rsid w:val="000E1FB4"/>
    <w:rsid w:val="00101034"/>
    <w:rsid w:val="001116FA"/>
    <w:rsid w:val="0011320B"/>
    <w:rsid w:val="00115061"/>
    <w:rsid w:val="00132AC2"/>
    <w:rsid w:val="00137327"/>
    <w:rsid w:val="00150F89"/>
    <w:rsid w:val="00163F0C"/>
    <w:rsid w:val="00171923"/>
    <w:rsid w:val="001A2522"/>
    <w:rsid w:val="001A4717"/>
    <w:rsid w:val="001B3E9A"/>
    <w:rsid w:val="001B6709"/>
    <w:rsid w:val="001D30FF"/>
    <w:rsid w:val="001D4362"/>
    <w:rsid w:val="001D4B1B"/>
    <w:rsid w:val="001D7BC0"/>
    <w:rsid w:val="001E1EA6"/>
    <w:rsid w:val="001E3E64"/>
    <w:rsid w:val="001F7646"/>
    <w:rsid w:val="001F7796"/>
    <w:rsid w:val="00205A60"/>
    <w:rsid w:val="00230B55"/>
    <w:rsid w:val="0027028E"/>
    <w:rsid w:val="0027404E"/>
    <w:rsid w:val="00274BC7"/>
    <w:rsid w:val="00292D38"/>
    <w:rsid w:val="002E3607"/>
    <w:rsid w:val="00314BB0"/>
    <w:rsid w:val="00355CE9"/>
    <w:rsid w:val="00370684"/>
    <w:rsid w:val="003842A1"/>
    <w:rsid w:val="003A2345"/>
    <w:rsid w:val="003A6328"/>
    <w:rsid w:val="003D62A0"/>
    <w:rsid w:val="003D749C"/>
    <w:rsid w:val="003F7914"/>
    <w:rsid w:val="00415DD0"/>
    <w:rsid w:val="0041703E"/>
    <w:rsid w:val="00430A72"/>
    <w:rsid w:val="0045187F"/>
    <w:rsid w:val="00494645"/>
    <w:rsid w:val="004A3EE9"/>
    <w:rsid w:val="004C1508"/>
    <w:rsid w:val="004C1CA1"/>
    <w:rsid w:val="004E624E"/>
    <w:rsid w:val="00520A57"/>
    <w:rsid w:val="00521C18"/>
    <w:rsid w:val="0053036B"/>
    <w:rsid w:val="0055549A"/>
    <w:rsid w:val="00564D23"/>
    <w:rsid w:val="0056509D"/>
    <w:rsid w:val="00570B37"/>
    <w:rsid w:val="00577751"/>
    <w:rsid w:val="00591568"/>
    <w:rsid w:val="00594E85"/>
    <w:rsid w:val="005C284B"/>
    <w:rsid w:val="005C3221"/>
    <w:rsid w:val="005C422B"/>
    <w:rsid w:val="005D34E5"/>
    <w:rsid w:val="005E002D"/>
    <w:rsid w:val="00620EA8"/>
    <w:rsid w:val="00640862"/>
    <w:rsid w:val="00685F9B"/>
    <w:rsid w:val="0069339E"/>
    <w:rsid w:val="006A026C"/>
    <w:rsid w:val="006A36EB"/>
    <w:rsid w:val="006B709A"/>
    <w:rsid w:val="006D0011"/>
    <w:rsid w:val="006D18F1"/>
    <w:rsid w:val="006E1F8F"/>
    <w:rsid w:val="006E6331"/>
    <w:rsid w:val="00703B43"/>
    <w:rsid w:val="00713E85"/>
    <w:rsid w:val="007201AB"/>
    <w:rsid w:val="00741465"/>
    <w:rsid w:val="00743A27"/>
    <w:rsid w:val="007440E3"/>
    <w:rsid w:val="00751E36"/>
    <w:rsid w:val="007653BF"/>
    <w:rsid w:val="007672E6"/>
    <w:rsid w:val="007723AF"/>
    <w:rsid w:val="007833A7"/>
    <w:rsid w:val="00784011"/>
    <w:rsid w:val="00785E65"/>
    <w:rsid w:val="007873A1"/>
    <w:rsid w:val="007A11A3"/>
    <w:rsid w:val="007A2CD3"/>
    <w:rsid w:val="007B1A8F"/>
    <w:rsid w:val="007C078D"/>
    <w:rsid w:val="007C5D94"/>
    <w:rsid w:val="007C767F"/>
    <w:rsid w:val="007D0A2F"/>
    <w:rsid w:val="007E3641"/>
    <w:rsid w:val="007E4437"/>
    <w:rsid w:val="00803C52"/>
    <w:rsid w:val="00817EDD"/>
    <w:rsid w:val="00825F56"/>
    <w:rsid w:val="00834129"/>
    <w:rsid w:val="00855982"/>
    <w:rsid w:val="00877164"/>
    <w:rsid w:val="008C4421"/>
    <w:rsid w:val="008C7EFB"/>
    <w:rsid w:val="008D08CE"/>
    <w:rsid w:val="008D0CEB"/>
    <w:rsid w:val="008E375F"/>
    <w:rsid w:val="008F0BD6"/>
    <w:rsid w:val="00915055"/>
    <w:rsid w:val="009425E9"/>
    <w:rsid w:val="00953667"/>
    <w:rsid w:val="009578E2"/>
    <w:rsid w:val="009653B6"/>
    <w:rsid w:val="00970D60"/>
    <w:rsid w:val="009719C4"/>
    <w:rsid w:val="00980125"/>
    <w:rsid w:val="009C1692"/>
    <w:rsid w:val="009C20D9"/>
    <w:rsid w:val="009D5E4A"/>
    <w:rsid w:val="009E4D64"/>
    <w:rsid w:val="009F08C7"/>
    <w:rsid w:val="009F280C"/>
    <w:rsid w:val="00A07482"/>
    <w:rsid w:val="00A10484"/>
    <w:rsid w:val="00A12369"/>
    <w:rsid w:val="00A15B7E"/>
    <w:rsid w:val="00A248BB"/>
    <w:rsid w:val="00A26DE3"/>
    <w:rsid w:val="00A5190E"/>
    <w:rsid w:val="00A530F5"/>
    <w:rsid w:val="00A560FC"/>
    <w:rsid w:val="00AB5707"/>
    <w:rsid w:val="00AC2073"/>
    <w:rsid w:val="00AC4445"/>
    <w:rsid w:val="00AC7795"/>
    <w:rsid w:val="00AD0960"/>
    <w:rsid w:val="00AF3847"/>
    <w:rsid w:val="00AF38A2"/>
    <w:rsid w:val="00B109B2"/>
    <w:rsid w:val="00B24D56"/>
    <w:rsid w:val="00B25B98"/>
    <w:rsid w:val="00B42291"/>
    <w:rsid w:val="00B617A9"/>
    <w:rsid w:val="00B731FF"/>
    <w:rsid w:val="00B909A9"/>
    <w:rsid w:val="00B94877"/>
    <w:rsid w:val="00BA2DAD"/>
    <w:rsid w:val="00BB3F68"/>
    <w:rsid w:val="00BB5403"/>
    <w:rsid w:val="00BD027D"/>
    <w:rsid w:val="00BE2B87"/>
    <w:rsid w:val="00BF2AAC"/>
    <w:rsid w:val="00C06B86"/>
    <w:rsid w:val="00C20A58"/>
    <w:rsid w:val="00C22BEF"/>
    <w:rsid w:val="00C24B69"/>
    <w:rsid w:val="00C52DC3"/>
    <w:rsid w:val="00C83961"/>
    <w:rsid w:val="00C86C97"/>
    <w:rsid w:val="00CA4E97"/>
    <w:rsid w:val="00CE30F7"/>
    <w:rsid w:val="00CF5BBB"/>
    <w:rsid w:val="00D01E7F"/>
    <w:rsid w:val="00D204B2"/>
    <w:rsid w:val="00D347EB"/>
    <w:rsid w:val="00D41792"/>
    <w:rsid w:val="00D44A56"/>
    <w:rsid w:val="00D47A0E"/>
    <w:rsid w:val="00D82D1F"/>
    <w:rsid w:val="00D933EC"/>
    <w:rsid w:val="00D9382D"/>
    <w:rsid w:val="00D961A9"/>
    <w:rsid w:val="00DA0DEB"/>
    <w:rsid w:val="00DD70FC"/>
    <w:rsid w:val="00DD78E5"/>
    <w:rsid w:val="00DE04AC"/>
    <w:rsid w:val="00DE7BE1"/>
    <w:rsid w:val="00E0323D"/>
    <w:rsid w:val="00E12126"/>
    <w:rsid w:val="00E12366"/>
    <w:rsid w:val="00E24318"/>
    <w:rsid w:val="00E2501B"/>
    <w:rsid w:val="00E35640"/>
    <w:rsid w:val="00E56D19"/>
    <w:rsid w:val="00E67399"/>
    <w:rsid w:val="00E84ADE"/>
    <w:rsid w:val="00EB26B2"/>
    <w:rsid w:val="00ED390D"/>
    <w:rsid w:val="00ED6D54"/>
    <w:rsid w:val="00F01063"/>
    <w:rsid w:val="00F04DDD"/>
    <w:rsid w:val="00F15119"/>
    <w:rsid w:val="00F20A92"/>
    <w:rsid w:val="00F2762B"/>
    <w:rsid w:val="00F42F31"/>
    <w:rsid w:val="00F455CD"/>
    <w:rsid w:val="00F548E0"/>
    <w:rsid w:val="00F622A4"/>
    <w:rsid w:val="00F71718"/>
    <w:rsid w:val="00FA0E7A"/>
    <w:rsid w:val="00FA2C61"/>
    <w:rsid w:val="00FB1A47"/>
    <w:rsid w:val="00FB2504"/>
    <w:rsid w:val="00FB47B3"/>
    <w:rsid w:val="00FC3B9B"/>
    <w:rsid w:val="00FC70DC"/>
    <w:rsid w:val="00FD262C"/>
    <w:rsid w:val="00FD2CC0"/>
    <w:rsid w:val="00FE2851"/>
    <w:rsid w:val="00FE70DF"/>
    <w:rsid w:val="00FE79EF"/>
    <w:rsid w:val="00FF0AB0"/>
    <w:rsid w:val="00FF1F7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4BA0E"/>
  <w15:docId w15:val="{0111343C-ECB3-4DAB-B0DD-F3B3987D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EF"/>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sid w:val="00132AC2"/>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unhideWhenUsed/>
    <w:qFormat/>
    <w:rsid w:val="00132AC2"/>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1">
    <w:name w:val="toc 1"/>
    <w:basedOn w:val="Normal"/>
    <w:next w:val="Normal"/>
    <w:autoRedefine/>
    <w:uiPriority w:val="39"/>
    <w:unhideWhenUsed/>
    <w:rsid w:val="00E0323D"/>
    <w:pPr>
      <w:spacing w:after="100"/>
    </w:pPr>
  </w:style>
  <w:style w:type="paragraph" w:styleId="TOC2">
    <w:name w:val="toc 2"/>
    <w:basedOn w:val="Normal"/>
    <w:next w:val="Normal"/>
    <w:autoRedefine/>
    <w:uiPriority w:val="39"/>
    <w:unhideWhenUsed/>
    <w:rsid w:val="00E0323D"/>
    <w:pPr>
      <w:spacing w:after="100"/>
      <w:ind w:left="220"/>
    </w:pPr>
  </w:style>
  <w:style w:type="paragraph" w:styleId="TOC3">
    <w:name w:val="toc 3"/>
    <w:basedOn w:val="Normal"/>
    <w:next w:val="Normal"/>
    <w:autoRedefine/>
    <w:uiPriority w:val="39"/>
    <w:unhideWhenUsed/>
    <w:rsid w:val="00E0323D"/>
    <w:pPr>
      <w:spacing w:after="100"/>
      <w:ind w:left="440"/>
    </w:pPr>
  </w:style>
  <w:style w:type="paragraph" w:styleId="ListParagraph">
    <w:name w:val="List Paragraph"/>
    <w:basedOn w:val="Normal"/>
    <w:uiPriority w:val="34"/>
    <w:unhideWhenUsed/>
    <w:qFormat/>
    <w:rsid w:val="00FB1A47"/>
    <w:pPr>
      <w:ind w:left="720"/>
      <w:contextualSpacing/>
    </w:pPr>
  </w:style>
  <w:style w:type="table" w:styleId="TableGrid">
    <w:name w:val="Table Grid"/>
    <w:basedOn w:val="TableNormal"/>
    <w:uiPriority w:val="39"/>
    <w:rsid w:val="001B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0B37"/>
    <w:pPr>
      <w:spacing w:after="0" w:line="240" w:lineRule="auto"/>
    </w:pPr>
    <w:rPr>
      <w:rFonts w:eastAsia="MS Mincho"/>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7EDD"/>
    <w:rPr>
      <w:color w:val="605E5C"/>
      <w:shd w:val="clear" w:color="auto" w:fill="E1DFDD"/>
    </w:rPr>
  </w:style>
  <w:style w:type="paragraph" w:customStyle="1" w:styleId="Default">
    <w:name w:val="Default"/>
    <w:rsid w:val="00564D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6520">
      <w:bodyDiv w:val="1"/>
      <w:marLeft w:val="0"/>
      <w:marRight w:val="0"/>
      <w:marTop w:val="0"/>
      <w:marBottom w:val="0"/>
      <w:divBdr>
        <w:top w:val="none" w:sz="0" w:space="0" w:color="auto"/>
        <w:left w:val="none" w:sz="0" w:space="0" w:color="auto"/>
        <w:bottom w:val="none" w:sz="0" w:space="0" w:color="auto"/>
        <w:right w:val="none" w:sz="0" w:space="0" w:color="auto"/>
      </w:divBdr>
      <w:divsChild>
        <w:div w:id="75830222">
          <w:marLeft w:val="994"/>
          <w:marRight w:val="0"/>
          <w:marTop w:val="0"/>
          <w:marBottom w:val="0"/>
          <w:divBdr>
            <w:top w:val="none" w:sz="0" w:space="0" w:color="auto"/>
            <w:left w:val="none" w:sz="0" w:space="0" w:color="auto"/>
            <w:bottom w:val="none" w:sz="0" w:space="0" w:color="auto"/>
            <w:right w:val="none" w:sz="0" w:space="0" w:color="auto"/>
          </w:divBdr>
        </w:div>
        <w:div w:id="1315992565">
          <w:marLeft w:val="994"/>
          <w:marRight w:val="0"/>
          <w:marTop w:val="0"/>
          <w:marBottom w:val="0"/>
          <w:divBdr>
            <w:top w:val="none" w:sz="0" w:space="0" w:color="auto"/>
            <w:left w:val="none" w:sz="0" w:space="0" w:color="auto"/>
            <w:bottom w:val="none" w:sz="0" w:space="0" w:color="auto"/>
            <w:right w:val="none" w:sz="0" w:space="0" w:color="auto"/>
          </w:divBdr>
        </w:div>
        <w:div w:id="1620575253">
          <w:marLeft w:val="994"/>
          <w:marRight w:val="0"/>
          <w:marTop w:val="0"/>
          <w:marBottom w:val="0"/>
          <w:divBdr>
            <w:top w:val="none" w:sz="0" w:space="0" w:color="auto"/>
            <w:left w:val="none" w:sz="0" w:space="0" w:color="auto"/>
            <w:bottom w:val="none" w:sz="0" w:space="0" w:color="auto"/>
            <w:right w:val="none" w:sz="0" w:space="0" w:color="auto"/>
          </w:divBdr>
        </w:div>
        <w:div w:id="1728144740">
          <w:marLeft w:val="994"/>
          <w:marRight w:val="0"/>
          <w:marTop w:val="0"/>
          <w:marBottom w:val="0"/>
          <w:divBdr>
            <w:top w:val="none" w:sz="0" w:space="0" w:color="auto"/>
            <w:left w:val="none" w:sz="0" w:space="0" w:color="auto"/>
            <w:bottom w:val="none" w:sz="0" w:space="0" w:color="auto"/>
            <w:right w:val="none" w:sz="0" w:space="0" w:color="auto"/>
          </w:divBdr>
        </w:div>
      </w:divsChild>
    </w:div>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mapsinitiative.org/methodology/templates-guidance/"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82dde9-3436-4d3d-bddd-d31447390034">
      <Value>667</Value>
      <Value>3</Value>
    </TaxCatchAll>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KimBussinessContext xmlns="54c4cd27-f286-408f-9ce0-33c1e0f3ab39"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language xmlns="ca82dde9-3436-4d3d-bddd-d31447390034">English</OECDlanguage>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ExpirationDate xmlns="18889a2b-0d37-4ff0-afeb-cbbf52875171" xsi:nil="true"/>
    <OECDMeetingDate xmlns="54c4cd27-f286-408f-9ce0-33c1e0f3ab39" xsi:nil="true"/>
    <eShareCommitteeTaxHTField0 xmlns="c9f238dd-bb73-4aef-a7a5-d644ad823e52">
      <Terms xmlns="http://schemas.microsoft.com/office/infopath/2007/PartnerControls"/>
    </eShareCommitteeTaxHTField0>
    <OECDYear xmlns="54c4cd27-f286-408f-9ce0-33c1e0f3ab39" xsi:nil="true"/>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documentManagement>
</p:properties>
</file>

<file path=customXml/item2.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3.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4.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OECDListFormCollapsible</Display>
  <Edit>OECDListFormCollapsible</Edit>
  <New>OECDListFormCollapsible</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71810-3EF7-4C8E-BCBA-248ABE2BAB39}">
  <ds:schemaRefs>
    <ds:schemaRef ds:uri="18889a2b-0d37-4ff0-afeb-cbbf52875171"/>
    <ds:schemaRef ds:uri="http://www.w3.org/XML/1998/namespace"/>
    <ds:schemaRef ds:uri="http://schemas.microsoft.com/office/2006/documentManagement/types"/>
    <ds:schemaRef ds:uri="c9f238dd-bb73-4aef-a7a5-d644ad823e52"/>
    <ds:schemaRef ds:uri="http://purl.org/dc/elements/1.1/"/>
    <ds:schemaRef ds:uri="http://schemas.microsoft.com/office/infopath/2007/PartnerControls"/>
    <ds:schemaRef ds:uri="http://schemas.microsoft.com/office/2006/metadata/properties"/>
    <ds:schemaRef ds:uri="ca82dde9-3436-4d3d-bddd-d31447390034"/>
    <ds:schemaRef ds:uri="http://purl.org/dc/terms/"/>
    <ds:schemaRef ds:uri="http://schemas.openxmlformats.org/package/2006/metadata/core-properties"/>
    <ds:schemaRef ds:uri="http://purl.org/dc/dcmitype/"/>
    <ds:schemaRef ds:uri="http://schemas.microsoft.com/sharepoint/v4"/>
    <ds:schemaRef ds:uri="375c99d1-ca6e-49b5-b969-bc8a239e4ffd"/>
    <ds:schemaRef ds:uri="54c4cd27-f286-408f-9ce0-33c1e0f3ab39"/>
  </ds:schemaRefs>
</ds:datastoreItem>
</file>

<file path=customXml/itemProps2.xml><?xml version="1.0" encoding="utf-8"?>
<ds:datastoreItem xmlns:ds="http://schemas.openxmlformats.org/officeDocument/2006/customXml" ds:itemID="{83EC5C09-84BD-4FB3-9C55-64FA967D243F}">
  <ds:schemaRefs>
    <ds:schemaRef ds:uri="http://www.oecd.org/eshare/projectsentre/CtFieldPriority/"/>
    <ds:schemaRef ds:uri="http://schemas.microsoft.com/2003/10/Serialization/Arrays"/>
  </ds:schemaRefs>
</ds:datastoreItem>
</file>

<file path=customXml/itemProps3.xml><?xml version="1.0" encoding="utf-8"?>
<ds:datastoreItem xmlns:ds="http://schemas.openxmlformats.org/officeDocument/2006/customXml" ds:itemID="{6E652D73-868C-45CF-9B49-EBCC1D3F09F7}">
  <ds:schemaRefs>
    <ds:schemaRef ds:uri="Microsoft.SharePoint.Taxonomy.ContentTypeSync"/>
  </ds:schemaRefs>
</ds:datastoreItem>
</file>

<file path=customXml/itemProps4.xml><?xml version="1.0" encoding="utf-8"?>
<ds:datastoreItem xmlns:ds="http://schemas.openxmlformats.org/officeDocument/2006/customXml" ds:itemID="{8AC533F8-F85D-4C9C-B7CD-DD6F34E03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FEE193-73C4-4F5D-8CA3-14F0C43485B7}">
  <ds:schemaRefs>
    <ds:schemaRef ds:uri="http://schemas.microsoft.com/sharepoint/v3/contenttype/forms"/>
  </ds:schemaRefs>
</ds:datastoreItem>
</file>

<file path=customXml/itemProps6.xml><?xml version="1.0" encoding="utf-8"?>
<ds:datastoreItem xmlns:ds="http://schemas.openxmlformats.org/officeDocument/2006/customXml" ds:itemID="{209B1881-AC58-4655-92C0-D3AD35F1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13</TotalTime>
  <Pages>18</Pages>
  <Words>2408</Words>
  <Characters>15249</Characters>
  <Application>Microsoft Office Word</Application>
  <DocSecurity>0</DocSecurity>
  <Lines>897</Lines>
  <Paragraphs>353</Paragraphs>
  <ScaleCrop>false</ScaleCrop>
  <HeadingPairs>
    <vt:vector size="2" baseType="variant">
      <vt:variant>
        <vt:lpstr>Title</vt:lpstr>
      </vt:variant>
      <vt:variant>
        <vt:i4>1</vt:i4>
      </vt:variant>
    </vt:vector>
  </HeadingPairs>
  <TitlesOfParts>
    <vt:vector size="1" baseType="lpstr">
      <vt:lpstr>Template: Assessment Report</vt:lpstr>
    </vt:vector>
  </TitlesOfParts>
  <Company>MAPS</Company>
  <LinksUpToDate>false</LinksUpToDate>
  <CharactersWithSpaces>17304</CharactersWithSpaces>
  <SharedDoc>false</SharedDoc>
  <HLinks>
    <vt:vector size="192" baseType="variant">
      <vt:variant>
        <vt:i4>1900599</vt:i4>
      </vt:variant>
      <vt:variant>
        <vt:i4>182</vt:i4>
      </vt:variant>
      <vt:variant>
        <vt:i4>0</vt:i4>
      </vt:variant>
      <vt:variant>
        <vt:i4>5</vt:i4>
      </vt:variant>
      <vt:variant>
        <vt:lpwstr/>
      </vt:variant>
      <vt:variant>
        <vt:lpwstr>_Toc517947156</vt:lpwstr>
      </vt:variant>
      <vt:variant>
        <vt:i4>1900599</vt:i4>
      </vt:variant>
      <vt:variant>
        <vt:i4>176</vt:i4>
      </vt:variant>
      <vt:variant>
        <vt:i4>0</vt:i4>
      </vt:variant>
      <vt:variant>
        <vt:i4>5</vt:i4>
      </vt:variant>
      <vt:variant>
        <vt:lpwstr/>
      </vt:variant>
      <vt:variant>
        <vt:lpwstr>_Toc517947155</vt:lpwstr>
      </vt:variant>
      <vt:variant>
        <vt:i4>1900599</vt:i4>
      </vt:variant>
      <vt:variant>
        <vt:i4>170</vt:i4>
      </vt:variant>
      <vt:variant>
        <vt:i4>0</vt:i4>
      </vt:variant>
      <vt:variant>
        <vt:i4>5</vt:i4>
      </vt:variant>
      <vt:variant>
        <vt:lpwstr/>
      </vt:variant>
      <vt:variant>
        <vt:lpwstr>_Toc517947154</vt:lpwstr>
      </vt:variant>
      <vt:variant>
        <vt:i4>1900599</vt:i4>
      </vt:variant>
      <vt:variant>
        <vt:i4>164</vt:i4>
      </vt:variant>
      <vt:variant>
        <vt:i4>0</vt:i4>
      </vt:variant>
      <vt:variant>
        <vt:i4>5</vt:i4>
      </vt:variant>
      <vt:variant>
        <vt:lpwstr/>
      </vt:variant>
      <vt:variant>
        <vt:lpwstr>_Toc517947153</vt:lpwstr>
      </vt:variant>
      <vt:variant>
        <vt:i4>1900599</vt:i4>
      </vt:variant>
      <vt:variant>
        <vt:i4>158</vt:i4>
      </vt:variant>
      <vt:variant>
        <vt:i4>0</vt:i4>
      </vt:variant>
      <vt:variant>
        <vt:i4>5</vt:i4>
      </vt:variant>
      <vt:variant>
        <vt:lpwstr/>
      </vt:variant>
      <vt:variant>
        <vt:lpwstr>_Toc517947152</vt:lpwstr>
      </vt:variant>
      <vt:variant>
        <vt:i4>1900599</vt:i4>
      </vt:variant>
      <vt:variant>
        <vt:i4>152</vt:i4>
      </vt:variant>
      <vt:variant>
        <vt:i4>0</vt:i4>
      </vt:variant>
      <vt:variant>
        <vt:i4>5</vt:i4>
      </vt:variant>
      <vt:variant>
        <vt:lpwstr/>
      </vt:variant>
      <vt:variant>
        <vt:lpwstr>_Toc517947151</vt:lpwstr>
      </vt:variant>
      <vt:variant>
        <vt:i4>1900599</vt:i4>
      </vt:variant>
      <vt:variant>
        <vt:i4>146</vt:i4>
      </vt:variant>
      <vt:variant>
        <vt:i4>0</vt:i4>
      </vt:variant>
      <vt:variant>
        <vt:i4>5</vt:i4>
      </vt:variant>
      <vt:variant>
        <vt:lpwstr/>
      </vt:variant>
      <vt:variant>
        <vt:lpwstr>_Toc517947150</vt:lpwstr>
      </vt:variant>
      <vt:variant>
        <vt:i4>1835063</vt:i4>
      </vt:variant>
      <vt:variant>
        <vt:i4>140</vt:i4>
      </vt:variant>
      <vt:variant>
        <vt:i4>0</vt:i4>
      </vt:variant>
      <vt:variant>
        <vt:i4>5</vt:i4>
      </vt:variant>
      <vt:variant>
        <vt:lpwstr/>
      </vt:variant>
      <vt:variant>
        <vt:lpwstr>_Toc517947149</vt:lpwstr>
      </vt:variant>
      <vt:variant>
        <vt:i4>1835063</vt:i4>
      </vt:variant>
      <vt:variant>
        <vt:i4>134</vt:i4>
      </vt:variant>
      <vt:variant>
        <vt:i4>0</vt:i4>
      </vt:variant>
      <vt:variant>
        <vt:i4>5</vt:i4>
      </vt:variant>
      <vt:variant>
        <vt:lpwstr/>
      </vt:variant>
      <vt:variant>
        <vt:lpwstr>_Toc517947148</vt:lpwstr>
      </vt:variant>
      <vt:variant>
        <vt:i4>1835063</vt:i4>
      </vt:variant>
      <vt:variant>
        <vt:i4>128</vt:i4>
      </vt:variant>
      <vt:variant>
        <vt:i4>0</vt:i4>
      </vt:variant>
      <vt:variant>
        <vt:i4>5</vt:i4>
      </vt:variant>
      <vt:variant>
        <vt:lpwstr/>
      </vt:variant>
      <vt:variant>
        <vt:lpwstr>_Toc517947147</vt:lpwstr>
      </vt:variant>
      <vt:variant>
        <vt:i4>1835063</vt:i4>
      </vt:variant>
      <vt:variant>
        <vt:i4>122</vt:i4>
      </vt:variant>
      <vt:variant>
        <vt:i4>0</vt:i4>
      </vt:variant>
      <vt:variant>
        <vt:i4>5</vt:i4>
      </vt:variant>
      <vt:variant>
        <vt:lpwstr/>
      </vt:variant>
      <vt:variant>
        <vt:lpwstr>_Toc517947146</vt:lpwstr>
      </vt:variant>
      <vt:variant>
        <vt:i4>1835063</vt:i4>
      </vt:variant>
      <vt:variant>
        <vt:i4>116</vt:i4>
      </vt:variant>
      <vt:variant>
        <vt:i4>0</vt:i4>
      </vt:variant>
      <vt:variant>
        <vt:i4>5</vt:i4>
      </vt:variant>
      <vt:variant>
        <vt:lpwstr/>
      </vt:variant>
      <vt:variant>
        <vt:lpwstr>_Toc517947145</vt:lpwstr>
      </vt:variant>
      <vt:variant>
        <vt:i4>1835063</vt:i4>
      </vt:variant>
      <vt:variant>
        <vt:i4>110</vt:i4>
      </vt:variant>
      <vt:variant>
        <vt:i4>0</vt:i4>
      </vt:variant>
      <vt:variant>
        <vt:i4>5</vt:i4>
      </vt:variant>
      <vt:variant>
        <vt:lpwstr/>
      </vt:variant>
      <vt:variant>
        <vt:lpwstr>_Toc517947144</vt:lpwstr>
      </vt:variant>
      <vt:variant>
        <vt:i4>1835063</vt:i4>
      </vt:variant>
      <vt:variant>
        <vt:i4>104</vt:i4>
      </vt:variant>
      <vt:variant>
        <vt:i4>0</vt:i4>
      </vt:variant>
      <vt:variant>
        <vt:i4>5</vt:i4>
      </vt:variant>
      <vt:variant>
        <vt:lpwstr/>
      </vt:variant>
      <vt:variant>
        <vt:lpwstr>_Toc517947143</vt:lpwstr>
      </vt:variant>
      <vt:variant>
        <vt:i4>1835063</vt:i4>
      </vt:variant>
      <vt:variant>
        <vt:i4>98</vt:i4>
      </vt:variant>
      <vt:variant>
        <vt:i4>0</vt:i4>
      </vt:variant>
      <vt:variant>
        <vt:i4>5</vt:i4>
      </vt:variant>
      <vt:variant>
        <vt:lpwstr/>
      </vt:variant>
      <vt:variant>
        <vt:lpwstr>_Toc517947142</vt:lpwstr>
      </vt:variant>
      <vt:variant>
        <vt:i4>1835063</vt:i4>
      </vt:variant>
      <vt:variant>
        <vt:i4>92</vt:i4>
      </vt:variant>
      <vt:variant>
        <vt:i4>0</vt:i4>
      </vt:variant>
      <vt:variant>
        <vt:i4>5</vt:i4>
      </vt:variant>
      <vt:variant>
        <vt:lpwstr/>
      </vt:variant>
      <vt:variant>
        <vt:lpwstr>_Toc517947141</vt:lpwstr>
      </vt:variant>
      <vt:variant>
        <vt:i4>1835063</vt:i4>
      </vt:variant>
      <vt:variant>
        <vt:i4>86</vt:i4>
      </vt:variant>
      <vt:variant>
        <vt:i4>0</vt:i4>
      </vt:variant>
      <vt:variant>
        <vt:i4>5</vt:i4>
      </vt:variant>
      <vt:variant>
        <vt:lpwstr/>
      </vt:variant>
      <vt:variant>
        <vt:lpwstr>_Toc517947140</vt:lpwstr>
      </vt:variant>
      <vt:variant>
        <vt:i4>1769527</vt:i4>
      </vt:variant>
      <vt:variant>
        <vt:i4>80</vt:i4>
      </vt:variant>
      <vt:variant>
        <vt:i4>0</vt:i4>
      </vt:variant>
      <vt:variant>
        <vt:i4>5</vt:i4>
      </vt:variant>
      <vt:variant>
        <vt:lpwstr/>
      </vt:variant>
      <vt:variant>
        <vt:lpwstr>_Toc517947139</vt:lpwstr>
      </vt:variant>
      <vt:variant>
        <vt:i4>1769527</vt:i4>
      </vt:variant>
      <vt:variant>
        <vt:i4>74</vt:i4>
      </vt:variant>
      <vt:variant>
        <vt:i4>0</vt:i4>
      </vt:variant>
      <vt:variant>
        <vt:i4>5</vt:i4>
      </vt:variant>
      <vt:variant>
        <vt:lpwstr/>
      </vt:variant>
      <vt:variant>
        <vt:lpwstr>_Toc517947138</vt:lpwstr>
      </vt:variant>
      <vt:variant>
        <vt:i4>1769527</vt:i4>
      </vt:variant>
      <vt:variant>
        <vt:i4>68</vt:i4>
      </vt:variant>
      <vt:variant>
        <vt:i4>0</vt:i4>
      </vt:variant>
      <vt:variant>
        <vt:i4>5</vt:i4>
      </vt:variant>
      <vt:variant>
        <vt:lpwstr/>
      </vt:variant>
      <vt:variant>
        <vt:lpwstr>_Toc517947137</vt:lpwstr>
      </vt:variant>
      <vt:variant>
        <vt:i4>1769527</vt:i4>
      </vt:variant>
      <vt:variant>
        <vt:i4>62</vt:i4>
      </vt:variant>
      <vt:variant>
        <vt:i4>0</vt:i4>
      </vt:variant>
      <vt:variant>
        <vt:i4>5</vt:i4>
      </vt:variant>
      <vt:variant>
        <vt:lpwstr/>
      </vt:variant>
      <vt:variant>
        <vt:lpwstr>_Toc517947136</vt:lpwstr>
      </vt:variant>
      <vt:variant>
        <vt:i4>1769527</vt:i4>
      </vt:variant>
      <vt:variant>
        <vt:i4>56</vt:i4>
      </vt:variant>
      <vt:variant>
        <vt:i4>0</vt:i4>
      </vt:variant>
      <vt:variant>
        <vt:i4>5</vt:i4>
      </vt:variant>
      <vt:variant>
        <vt:lpwstr/>
      </vt:variant>
      <vt:variant>
        <vt:lpwstr>_Toc517947135</vt:lpwstr>
      </vt:variant>
      <vt:variant>
        <vt:i4>1769527</vt:i4>
      </vt:variant>
      <vt:variant>
        <vt:i4>50</vt:i4>
      </vt:variant>
      <vt:variant>
        <vt:i4>0</vt:i4>
      </vt:variant>
      <vt:variant>
        <vt:i4>5</vt:i4>
      </vt:variant>
      <vt:variant>
        <vt:lpwstr/>
      </vt:variant>
      <vt:variant>
        <vt:lpwstr>_Toc517947134</vt:lpwstr>
      </vt:variant>
      <vt:variant>
        <vt:i4>1769527</vt:i4>
      </vt:variant>
      <vt:variant>
        <vt:i4>44</vt:i4>
      </vt:variant>
      <vt:variant>
        <vt:i4>0</vt:i4>
      </vt:variant>
      <vt:variant>
        <vt:i4>5</vt:i4>
      </vt:variant>
      <vt:variant>
        <vt:lpwstr/>
      </vt:variant>
      <vt:variant>
        <vt:lpwstr>_Toc517947133</vt:lpwstr>
      </vt:variant>
      <vt:variant>
        <vt:i4>1769527</vt:i4>
      </vt:variant>
      <vt:variant>
        <vt:i4>38</vt:i4>
      </vt:variant>
      <vt:variant>
        <vt:i4>0</vt:i4>
      </vt:variant>
      <vt:variant>
        <vt:i4>5</vt:i4>
      </vt:variant>
      <vt:variant>
        <vt:lpwstr/>
      </vt:variant>
      <vt:variant>
        <vt:lpwstr>_Toc517947132</vt:lpwstr>
      </vt:variant>
      <vt:variant>
        <vt:i4>1769527</vt:i4>
      </vt:variant>
      <vt:variant>
        <vt:i4>32</vt:i4>
      </vt:variant>
      <vt:variant>
        <vt:i4>0</vt:i4>
      </vt:variant>
      <vt:variant>
        <vt:i4>5</vt:i4>
      </vt:variant>
      <vt:variant>
        <vt:lpwstr/>
      </vt:variant>
      <vt:variant>
        <vt:lpwstr>_Toc517947131</vt:lpwstr>
      </vt:variant>
      <vt:variant>
        <vt:i4>1769527</vt:i4>
      </vt:variant>
      <vt:variant>
        <vt:i4>26</vt:i4>
      </vt:variant>
      <vt:variant>
        <vt:i4>0</vt:i4>
      </vt:variant>
      <vt:variant>
        <vt:i4>5</vt:i4>
      </vt:variant>
      <vt:variant>
        <vt:lpwstr/>
      </vt:variant>
      <vt:variant>
        <vt:lpwstr>_Toc517947130</vt:lpwstr>
      </vt:variant>
      <vt:variant>
        <vt:i4>1703991</vt:i4>
      </vt:variant>
      <vt:variant>
        <vt:i4>20</vt:i4>
      </vt:variant>
      <vt:variant>
        <vt:i4>0</vt:i4>
      </vt:variant>
      <vt:variant>
        <vt:i4>5</vt:i4>
      </vt:variant>
      <vt:variant>
        <vt:lpwstr/>
      </vt:variant>
      <vt:variant>
        <vt:lpwstr>_Toc517947129</vt:lpwstr>
      </vt:variant>
      <vt:variant>
        <vt:i4>1703991</vt:i4>
      </vt:variant>
      <vt:variant>
        <vt:i4>14</vt:i4>
      </vt:variant>
      <vt:variant>
        <vt:i4>0</vt:i4>
      </vt:variant>
      <vt:variant>
        <vt:i4>5</vt:i4>
      </vt:variant>
      <vt:variant>
        <vt:lpwstr/>
      </vt:variant>
      <vt:variant>
        <vt:lpwstr>_Toc517947128</vt:lpwstr>
      </vt:variant>
      <vt:variant>
        <vt:i4>1703991</vt:i4>
      </vt:variant>
      <vt:variant>
        <vt:i4>8</vt:i4>
      </vt:variant>
      <vt:variant>
        <vt:i4>0</vt:i4>
      </vt:variant>
      <vt:variant>
        <vt:i4>5</vt:i4>
      </vt:variant>
      <vt:variant>
        <vt:lpwstr/>
      </vt:variant>
      <vt:variant>
        <vt:lpwstr>_Toc517947127</vt:lpwstr>
      </vt:variant>
      <vt:variant>
        <vt:i4>1703991</vt:i4>
      </vt:variant>
      <vt:variant>
        <vt:i4>2</vt:i4>
      </vt:variant>
      <vt:variant>
        <vt:i4>0</vt:i4>
      </vt:variant>
      <vt:variant>
        <vt:i4>5</vt:i4>
      </vt:variant>
      <vt:variant>
        <vt:lpwstr/>
      </vt:variant>
      <vt:variant>
        <vt:lpwstr>_Toc517947126</vt:lpwstr>
      </vt:variant>
      <vt:variant>
        <vt:i4>8060974</vt:i4>
      </vt:variant>
      <vt:variant>
        <vt:i4>0</vt:i4>
      </vt:variant>
      <vt:variant>
        <vt:i4>0</vt:i4>
      </vt:variant>
      <vt:variant>
        <vt:i4>5</vt:i4>
      </vt:variant>
      <vt:variant>
        <vt:lpwstr>https://www.mapsinitiative.org/methodology/templates-guidance/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Assessment Report under the Professionalisation module</dc:title>
  <dc:subject>VERSION 1.0 – MaY 2023</dc:subject>
  <dc:creator>Marie Mantopoulos</dc:creator>
  <cp:keywords/>
  <dc:description/>
  <cp:lastModifiedBy>DEZIEL Justine, GOV/IPP</cp:lastModifiedBy>
  <cp:revision>5</cp:revision>
  <cp:lastPrinted>2018-03-10T03:15:00Z</cp:lastPrinted>
  <dcterms:created xsi:type="dcterms:W3CDTF">2023-03-30T14:03:00Z</dcterms:created>
  <dcterms:modified xsi:type="dcterms:W3CDTF">2023-05-15T14:35:00Z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MediaServiceImageTags">
    <vt:lpwstr/>
  </property>
</Properties>
</file>